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sdt>
      <w:sdtPr>
        <w:id w:val="154114555"/>
        <w:docPartObj>
          <w:docPartGallery w:val="Cover Pages"/>
          <w:docPartUnique/>
        </w:docPartObj>
      </w:sdtPr>
      <w:sdtEndPr>
        <w:rPr>
          <w:rFonts w:asciiTheme="majorHAnsi" w:eastAsiaTheme="majorEastAsia" w:hAnsiTheme="majorHAnsi" w:cstheme="majorBidi"/>
          <w:caps/>
          <w:color w:val="FFFFFF" w:themeColor="background1"/>
          <w:sz w:val="64"/>
          <w:szCs w:val="64"/>
          <w:lang w:eastAsia="es-CO"/>
        </w:rPr>
      </w:sdtEndPr>
      <w:sdtContent>
        <w:p w:rsidR="00D53E70" w:rsidRDefault="00D53E70">
          <w:r>
            <w:rPr>
              <w:noProof/>
            </w:rPr>
            <mc:AlternateContent>
              <mc:Choice Requires="wpg">
                <w:drawing>
                  <wp:anchor distT="0" distB="0" distL="114300" distR="114300" simplePos="0" relativeHeight="251659264" behindDoc="1" locked="0" layoutInCell="1" allowOverlap="1">
                    <wp:simplePos x="0" y="0"/>
                    <wp:positionH relativeFrom="page">
                      <wp:align>center</wp:align>
                    </wp:positionH>
                    <wp:positionV relativeFrom="page">
                      <wp:align>center</wp:align>
                    </wp:positionV>
                    <wp:extent cx="6858000" cy="9144000"/>
                    <wp:effectExtent l="0" t="0" r="2540" b="635"/>
                    <wp:wrapNone/>
                    <wp:docPr id="48" name="Grupo 48"/>
                    <wp:cNvGraphicFramePr/>
                    <a:graphic xmlns:a="http://schemas.openxmlformats.org/drawingml/2006/main">
                      <a:graphicData uri="http://schemas.microsoft.com/office/word/2010/wordprocessingGroup">
                        <wpg:wgp>
                          <wpg:cNvGrpSpPr/>
                          <wpg:grpSpPr>
                            <a:xfrm>
                              <a:off x="0" y="0"/>
                              <a:ext cx="6858000" cy="9144000"/>
                              <a:chOff x="0" y="0"/>
                              <a:chExt cx="6858000" cy="9144000"/>
                            </a:xfrm>
                          </wpg:grpSpPr>
                          <wpg:grpSp>
                            <wpg:cNvPr id="49" name="Grupo 49"/>
                            <wpg:cNvGrpSpPr/>
                            <wpg:grpSpPr>
                              <a:xfrm>
                                <a:off x="0" y="0"/>
                                <a:ext cx="6858000" cy="9144000"/>
                                <a:chOff x="0" y="0"/>
                                <a:chExt cx="6858000" cy="9144000"/>
                              </a:xfrm>
                            </wpg:grpSpPr>
                            <wps:wsp>
                              <wps:cNvPr id="54" name="Rectángulo 54"/>
                              <wps:cNvSpPr/>
                              <wps:spPr>
                                <a:xfrm>
                                  <a:off x="0" y="0"/>
                                  <a:ext cx="6858000" cy="9144000"/>
                                </a:xfrm>
                                <a:prstGeom prst="rect">
                                  <a:avLst/>
                                </a:prstGeom>
                                <a:gradFill>
                                  <a:gsLst>
                                    <a:gs pos="10000">
                                      <a:schemeClr val="dk2">
                                        <a:tint val="97000"/>
                                        <a:hueMod val="92000"/>
                                        <a:satMod val="169000"/>
                                        <a:lumMod val="164000"/>
                                      </a:schemeClr>
                                    </a:gs>
                                    <a:gs pos="100000">
                                      <a:schemeClr val="dk2">
                                        <a:shade val="96000"/>
                                        <a:satMod val="120000"/>
                                        <a:lumMod val="90000"/>
                                      </a:schemeClr>
                                    </a:gs>
                                  </a:gsLst>
                                  <a:lin ang="6120000" scaled="1"/>
                                </a:gradFill>
                                <a:ln>
                                  <a:noFill/>
                                </a:ln>
                              </wps:spPr>
                              <wps:style>
                                <a:lnRef idx="2">
                                  <a:schemeClr val="accent1">
                                    <a:shade val="50000"/>
                                  </a:schemeClr>
                                </a:lnRef>
                                <a:fillRef idx="1002">
                                  <a:schemeClr val="dk2"/>
                                </a:fillRef>
                                <a:effectRef idx="0">
                                  <a:schemeClr val="accent1"/>
                                </a:effectRef>
                                <a:fontRef idx="minor">
                                  <a:schemeClr val="lt1"/>
                                </a:fontRef>
                              </wps:style>
                              <wps:txbx>
                                <w:txbxContent>
                                  <w:p w:rsidR="00D53E70" w:rsidRDefault="00D53E70">
                                    <w:pPr>
                                      <w:pStyle w:val="Sinespaciado"/>
                                      <w:rPr>
                                        <w:color w:val="FFFFFF" w:themeColor="background1"/>
                                        <w:sz w:val="48"/>
                                        <w:szCs w:val="48"/>
                                      </w:rPr>
                                    </w:pPr>
                                  </w:p>
                                </w:txbxContent>
                              </wps:txbx>
                              <wps:bodyPr rot="0" spcFirstLastPara="0" vertOverflow="overflow" horzOverflow="overflow" vert="horz" wrap="square" lIns="685800" tIns="685800" rIns="914400" bIns="4572000" numCol="1" spcCol="0" rtlCol="0" fromWordArt="0" anchor="t" anchorCtr="0" forceAA="0" compatLnSpc="1">
                                <a:prstTxWarp prst="textNoShape">
                                  <a:avLst/>
                                </a:prstTxWarp>
                                <a:noAutofit/>
                              </wps:bodyPr>
                            </wps:wsp>
                            <wpg:grpSp>
                              <wpg:cNvPr id="55" name="Grupo 2"/>
                              <wpg:cNvGrpSpPr/>
                              <wpg:grpSpPr>
                                <a:xfrm>
                                  <a:off x="2524125" y="0"/>
                                  <a:ext cx="4329113" cy="4491038"/>
                                  <a:chOff x="0" y="0"/>
                                  <a:chExt cx="4329113" cy="4491038"/>
                                </a:xfrm>
                                <a:solidFill>
                                  <a:schemeClr val="bg1"/>
                                </a:solidFill>
                              </wpg:grpSpPr>
                              <wps:wsp>
                                <wps:cNvPr id="56" name="Forma libre 56"/>
                                <wps:cNvSpPr>
                                  <a:spLocks/>
                                </wps:cNvSpPr>
                                <wps:spPr bwMode="auto">
                                  <a:xfrm>
                                    <a:off x="1501775" y="0"/>
                                    <a:ext cx="2827338" cy="2835275"/>
                                  </a:xfrm>
                                  <a:custGeom>
                                    <a:avLst/>
                                    <a:gdLst>
                                      <a:gd name="T0" fmla="*/ 4 w 1781"/>
                                      <a:gd name="T1" fmla="*/ 1786 h 1786"/>
                                      <a:gd name="T2" fmla="*/ 0 w 1781"/>
                                      <a:gd name="T3" fmla="*/ 1782 h 1786"/>
                                      <a:gd name="T4" fmla="*/ 1776 w 1781"/>
                                      <a:gd name="T5" fmla="*/ 0 h 1786"/>
                                      <a:gd name="T6" fmla="*/ 1781 w 1781"/>
                                      <a:gd name="T7" fmla="*/ 5 h 1786"/>
                                      <a:gd name="T8" fmla="*/ 4 w 1781"/>
                                      <a:gd name="T9" fmla="*/ 1786 h 1786"/>
                                    </a:gdLst>
                                    <a:ahLst/>
                                    <a:cxnLst>
                                      <a:cxn ang="0">
                                        <a:pos x="T0" y="T1"/>
                                      </a:cxn>
                                      <a:cxn ang="0">
                                        <a:pos x="T2" y="T3"/>
                                      </a:cxn>
                                      <a:cxn ang="0">
                                        <a:pos x="T4" y="T5"/>
                                      </a:cxn>
                                      <a:cxn ang="0">
                                        <a:pos x="T6" y="T7"/>
                                      </a:cxn>
                                      <a:cxn ang="0">
                                        <a:pos x="T8" y="T9"/>
                                      </a:cxn>
                                    </a:cxnLst>
                                    <a:rect l="0" t="0" r="r" b="b"/>
                                    <a:pathLst>
                                      <a:path w="1781" h="1786">
                                        <a:moveTo>
                                          <a:pt x="4" y="1786"/>
                                        </a:moveTo>
                                        <a:lnTo>
                                          <a:pt x="0" y="1782"/>
                                        </a:lnTo>
                                        <a:lnTo>
                                          <a:pt x="1776" y="0"/>
                                        </a:lnTo>
                                        <a:lnTo>
                                          <a:pt x="1781" y="5"/>
                                        </a:lnTo>
                                        <a:lnTo>
                                          <a:pt x="4" y="1786"/>
                                        </a:lnTo>
                                        <a:close/>
                                      </a:path>
                                    </a:pathLst>
                                  </a:custGeom>
                                  <a:grp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57" name="Forma libre 57"/>
                                <wps:cNvSpPr>
                                  <a:spLocks/>
                                </wps:cNvSpPr>
                                <wps:spPr bwMode="auto">
                                  <a:xfrm>
                                    <a:off x="782637" y="227013"/>
                                    <a:ext cx="3546475" cy="3546475"/>
                                  </a:xfrm>
                                  <a:custGeom>
                                    <a:avLst/>
                                    <a:gdLst>
                                      <a:gd name="T0" fmla="*/ 5 w 2234"/>
                                      <a:gd name="T1" fmla="*/ 2234 h 2234"/>
                                      <a:gd name="T2" fmla="*/ 0 w 2234"/>
                                      <a:gd name="T3" fmla="*/ 2229 h 2234"/>
                                      <a:gd name="T4" fmla="*/ 2229 w 2234"/>
                                      <a:gd name="T5" fmla="*/ 0 h 2234"/>
                                      <a:gd name="T6" fmla="*/ 2234 w 2234"/>
                                      <a:gd name="T7" fmla="*/ 5 h 2234"/>
                                      <a:gd name="T8" fmla="*/ 5 w 2234"/>
                                      <a:gd name="T9" fmla="*/ 2234 h 2234"/>
                                    </a:gdLst>
                                    <a:ahLst/>
                                    <a:cxnLst>
                                      <a:cxn ang="0">
                                        <a:pos x="T0" y="T1"/>
                                      </a:cxn>
                                      <a:cxn ang="0">
                                        <a:pos x="T2" y="T3"/>
                                      </a:cxn>
                                      <a:cxn ang="0">
                                        <a:pos x="T4" y="T5"/>
                                      </a:cxn>
                                      <a:cxn ang="0">
                                        <a:pos x="T6" y="T7"/>
                                      </a:cxn>
                                      <a:cxn ang="0">
                                        <a:pos x="T8" y="T9"/>
                                      </a:cxn>
                                    </a:cxnLst>
                                    <a:rect l="0" t="0" r="r" b="b"/>
                                    <a:pathLst>
                                      <a:path w="2234" h="2234">
                                        <a:moveTo>
                                          <a:pt x="5" y="2234"/>
                                        </a:moveTo>
                                        <a:lnTo>
                                          <a:pt x="0" y="2229"/>
                                        </a:lnTo>
                                        <a:lnTo>
                                          <a:pt x="2229" y="0"/>
                                        </a:lnTo>
                                        <a:lnTo>
                                          <a:pt x="2234" y="5"/>
                                        </a:lnTo>
                                        <a:lnTo>
                                          <a:pt x="5" y="2234"/>
                                        </a:lnTo>
                                        <a:close/>
                                      </a:path>
                                    </a:pathLst>
                                  </a:custGeom>
                                  <a:grp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58" name="Forma libre 58"/>
                                <wps:cNvSpPr>
                                  <a:spLocks/>
                                </wps:cNvSpPr>
                                <wps:spPr bwMode="auto">
                                  <a:xfrm>
                                    <a:off x="841375" y="109538"/>
                                    <a:ext cx="3487738" cy="3487738"/>
                                  </a:xfrm>
                                  <a:custGeom>
                                    <a:avLst/>
                                    <a:gdLst>
                                      <a:gd name="T0" fmla="*/ 9 w 2197"/>
                                      <a:gd name="T1" fmla="*/ 2197 h 2197"/>
                                      <a:gd name="T2" fmla="*/ 0 w 2197"/>
                                      <a:gd name="T3" fmla="*/ 2193 h 2197"/>
                                      <a:gd name="T4" fmla="*/ 2188 w 2197"/>
                                      <a:gd name="T5" fmla="*/ 0 h 2197"/>
                                      <a:gd name="T6" fmla="*/ 2197 w 2197"/>
                                      <a:gd name="T7" fmla="*/ 10 h 2197"/>
                                      <a:gd name="T8" fmla="*/ 9 w 2197"/>
                                      <a:gd name="T9" fmla="*/ 2197 h 2197"/>
                                    </a:gdLst>
                                    <a:ahLst/>
                                    <a:cxnLst>
                                      <a:cxn ang="0">
                                        <a:pos x="T0" y="T1"/>
                                      </a:cxn>
                                      <a:cxn ang="0">
                                        <a:pos x="T2" y="T3"/>
                                      </a:cxn>
                                      <a:cxn ang="0">
                                        <a:pos x="T4" y="T5"/>
                                      </a:cxn>
                                      <a:cxn ang="0">
                                        <a:pos x="T6" y="T7"/>
                                      </a:cxn>
                                      <a:cxn ang="0">
                                        <a:pos x="T8" y="T9"/>
                                      </a:cxn>
                                    </a:cxnLst>
                                    <a:rect l="0" t="0" r="r" b="b"/>
                                    <a:pathLst>
                                      <a:path w="2197" h="2197">
                                        <a:moveTo>
                                          <a:pt x="9" y="2197"/>
                                        </a:moveTo>
                                        <a:lnTo>
                                          <a:pt x="0" y="2193"/>
                                        </a:lnTo>
                                        <a:lnTo>
                                          <a:pt x="2188" y="0"/>
                                        </a:lnTo>
                                        <a:lnTo>
                                          <a:pt x="2197" y="10"/>
                                        </a:lnTo>
                                        <a:lnTo>
                                          <a:pt x="9" y="2197"/>
                                        </a:lnTo>
                                        <a:close/>
                                      </a:path>
                                    </a:pathLst>
                                  </a:custGeom>
                                  <a:grp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59" name="Forma libre 59"/>
                                <wps:cNvSpPr>
                                  <a:spLocks/>
                                </wps:cNvSpPr>
                                <wps:spPr bwMode="auto">
                                  <a:xfrm>
                                    <a:off x="1216025" y="498475"/>
                                    <a:ext cx="3113088" cy="3121025"/>
                                  </a:xfrm>
                                  <a:custGeom>
                                    <a:avLst/>
                                    <a:gdLst>
                                      <a:gd name="T0" fmla="*/ 9 w 1961"/>
                                      <a:gd name="T1" fmla="*/ 1966 h 1966"/>
                                      <a:gd name="T2" fmla="*/ 0 w 1961"/>
                                      <a:gd name="T3" fmla="*/ 1957 h 1966"/>
                                      <a:gd name="T4" fmla="*/ 1952 w 1961"/>
                                      <a:gd name="T5" fmla="*/ 0 h 1966"/>
                                      <a:gd name="T6" fmla="*/ 1961 w 1961"/>
                                      <a:gd name="T7" fmla="*/ 9 h 1966"/>
                                      <a:gd name="T8" fmla="*/ 9 w 1961"/>
                                      <a:gd name="T9" fmla="*/ 1966 h 1966"/>
                                    </a:gdLst>
                                    <a:ahLst/>
                                    <a:cxnLst>
                                      <a:cxn ang="0">
                                        <a:pos x="T0" y="T1"/>
                                      </a:cxn>
                                      <a:cxn ang="0">
                                        <a:pos x="T2" y="T3"/>
                                      </a:cxn>
                                      <a:cxn ang="0">
                                        <a:pos x="T4" y="T5"/>
                                      </a:cxn>
                                      <a:cxn ang="0">
                                        <a:pos x="T6" y="T7"/>
                                      </a:cxn>
                                      <a:cxn ang="0">
                                        <a:pos x="T8" y="T9"/>
                                      </a:cxn>
                                    </a:cxnLst>
                                    <a:rect l="0" t="0" r="r" b="b"/>
                                    <a:pathLst>
                                      <a:path w="1961" h="1966">
                                        <a:moveTo>
                                          <a:pt x="9" y="1966"/>
                                        </a:moveTo>
                                        <a:lnTo>
                                          <a:pt x="0" y="1957"/>
                                        </a:lnTo>
                                        <a:lnTo>
                                          <a:pt x="1952" y="0"/>
                                        </a:lnTo>
                                        <a:lnTo>
                                          <a:pt x="1961" y="9"/>
                                        </a:lnTo>
                                        <a:lnTo>
                                          <a:pt x="9" y="1966"/>
                                        </a:lnTo>
                                        <a:close/>
                                      </a:path>
                                    </a:pathLst>
                                  </a:custGeom>
                                  <a:grp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60" name="Forma libre 60"/>
                                <wps:cNvSpPr>
                                  <a:spLocks/>
                                </wps:cNvSpPr>
                                <wps:spPr bwMode="auto">
                                  <a:xfrm>
                                    <a:off x="0" y="153988"/>
                                    <a:ext cx="4329113" cy="4337050"/>
                                  </a:xfrm>
                                  <a:custGeom>
                                    <a:avLst/>
                                    <a:gdLst>
                                      <a:gd name="T0" fmla="*/ 0 w 2727"/>
                                      <a:gd name="T1" fmla="*/ 2732 h 2732"/>
                                      <a:gd name="T2" fmla="*/ 0 w 2727"/>
                                      <a:gd name="T3" fmla="*/ 2728 h 2732"/>
                                      <a:gd name="T4" fmla="*/ 2722 w 2727"/>
                                      <a:gd name="T5" fmla="*/ 0 h 2732"/>
                                      <a:gd name="T6" fmla="*/ 2727 w 2727"/>
                                      <a:gd name="T7" fmla="*/ 5 h 2732"/>
                                      <a:gd name="T8" fmla="*/ 0 w 2727"/>
                                      <a:gd name="T9" fmla="*/ 2732 h 2732"/>
                                    </a:gdLst>
                                    <a:ahLst/>
                                    <a:cxnLst>
                                      <a:cxn ang="0">
                                        <a:pos x="T0" y="T1"/>
                                      </a:cxn>
                                      <a:cxn ang="0">
                                        <a:pos x="T2" y="T3"/>
                                      </a:cxn>
                                      <a:cxn ang="0">
                                        <a:pos x="T4" y="T5"/>
                                      </a:cxn>
                                      <a:cxn ang="0">
                                        <a:pos x="T6" y="T7"/>
                                      </a:cxn>
                                      <a:cxn ang="0">
                                        <a:pos x="T8" y="T9"/>
                                      </a:cxn>
                                    </a:cxnLst>
                                    <a:rect l="0" t="0" r="r" b="b"/>
                                    <a:pathLst>
                                      <a:path w="2727" h="2732">
                                        <a:moveTo>
                                          <a:pt x="0" y="2732"/>
                                        </a:moveTo>
                                        <a:lnTo>
                                          <a:pt x="0" y="2728"/>
                                        </a:lnTo>
                                        <a:lnTo>
                                          <a:pt x="2722" y="0"/>
                                        </a:lnTo>
                                        <a:lnTo>
                                          <a:pt x="2727" y="5"/>
                                        </a:lnTo>
                                        <a:lnTo>
                                          <a:pt x="0" y="2732"/>
                                        </a:lnTo>
                                        <a:close/>
                                      </a:path>
                                    </a:pathLst>
                                  </a:custGeom>
                                  <a:grp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g:grpSp>
                          </wpg:grpSp>
                          <wps:wsp>
                            <wps:cNvPr id="61" name="Cuadro de texto 61"/>
                            <wps:cNvSpPr txBox="1"/>
                            <wps:spPr>
                              <a:xfrm>
                                <a:off x="9518" y="4838700"/>
                                <a:ext cx="6843395" cy="378975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sdt>
                                  <w:sdtPr>
                                    <w:rPr>
                                      <w:rFonts w:asciiTheme="majorHAnsi" w:eastAsiaTheme="majorEastAsia" w:hAnsiTheme="majorHAnsi" w:cstheme="majorBidi"/>
                                      <w:caps/>
                                      <w:color w:val="FFFFFF" w:themeColor="background1"/>
                                      <w:sz w:val="64"/>
                                      <w:szCs w:val="64"/>
                                    </w:rPr>
                                    <w:alias w:val="Título"/>
                                    <w:tag w:val=""/>
                                    <w:id w:val="1841046763"/>
                                    <w:dataBinding w:prefixMappings="xmlns:ns0='http://purl.org/dc/elements/1.1/' xmlns:ns1='http://schemas.openxmlformats.org/package/2006/metadata/core-properties' " w:xpath="/ns1:coreProperties[1]/ns0:title[1]" w:storeItemID="{6C3C8BC8-F283-45AE-878A-BAB7291924A1}"/>
                                    <w:text/>
                                  </w:sdtPr>
                                  <w:sdtEndPr/>
                                  <w:sdtContent>
                                    <w:p w:rsidR="00D53E70" w:rsidRDefault="00D53E70">
                                      <w:pPr>
                                        <w:pStyle w:val="Sinespaciado"/>
                                        <w:rPr>
                                          <w:rFonts w:asciiTheme="majorHAnsi" w:eastAsiaTheme="majorEastAsia" w:hAnsiTheme="majorHAnsi" w:cstheme="majorBidi"/>
                                          <w:caps/>
                                          <w:color w:val="FFFFFF" w:themeColor="background1"/>
                                          <w:sz w:val="64"/>
                                          <w:szCs w:val="64"/>
                                        </w:rPr>
                                      </w:pPr>
                                      <w:r>
                                        <w:rPr>
                                          <w:rFonts w:asciiTheme="majorHAnsi" w:eastAsiaTheme="majorEastAsia" w:hAnsiTheme="majorHAnsi" w:cstheme="majorBidi"/>
                                          <w:caps/>
                                          <w:color w:val="FFFFFF" w:themeColor="background1"/>
                                          <w:sz w:val="64"/>
                                          <w:szCs w:val="64"/>
                                        </w:rPr>
                                        <w:t>NUEVA MODALIDAD DE ENTREGA DE ALIMENTOS A LA POBLACIÓN NNAJ ATENDIDA EN IDIPRON</w:t>
                                      </w:r>
                                      <w:r w:rsidR="009958B1">
                                        <w:rPr>
                                          <w:rFonts w:asciiTheme="majorHAnsi" w:eastAsiaTheme="majorEastAsia" w:hAnsiTheme="majorHAnsi" w:cstheme="majorBidi"/>
                                          <w:caps/>
                                          <w:color w:val="FFFFFF" w:themeColor="background1"/>
                                          <w:sz w:val="64"/>
                                          <w:szCs w:val="64"/>
                                        </w:rPr>
                                        <w:t>.</w:t>
                                      </w:r>
                                      <w:r>
                                        <w:rPr>
                                          <w:rFonts w:asciiTheme="majorHAnsi" w:eastAsiaTheme="majorEastAsia" w:hAnsiTheme="majorHAnsi" w:cstheme="majorBidi"/>
                                          <w:caps/>
                                          <w:color w:val="FFFFFF" w:themeColor="background1"/>
                                          <w:sz w:val="64"/>
                                          <w:szCs w:val="64"/>
                                        </w:rPr>
                                        <w:t xml:space="preserve"> </w:t>
                                      </w:r>
                                      <w:r w:rsidR="00B6480E">
                                        <w:rPr>
                                          <w:rFonts w:asciiTheme="majorHAnsi" w:eastAsiaTheme="majorEastAsia" w:hAnsiTheme="majorHAnsi" w:cstheme="majorBidi"/>
                                          <w:caps/>
                                          <w:color w:val="FFFFFF" w:themeColor="background1"/>
                                          <w:sz w:val="64"/>
                                          <w:szCs w:val="64"/>
                                        </w:rPr>
                                        <w:t xml:space="preserve">justificación </w:t>
                                      </w:r>
                                      <w:r>
                                        <w:rPr>
                                          <w:rFonts w:asciiTheme="majorHAnsi" w:eastAsiaTheme="majorEastAsia" w:hAnsiTheme="majorHAnsi" w:cstheme="majorBidi"/>
                                          <w:caps/>
                                          <w:color w:val="FFFFFF" w:themeColor="background1"/>
                                          <w:sz w:val="64"/>
                                          <w:szCs w:val="64"/>
                                        </w:rPr>
                                        <w:t>ESTRUCTURA Y VENTAJAS</w:t>
                                      </w:r>
                                    </w:p>
                                  </w:sdtContent>
                                </w:sdt>
                                <w:sdt>
                                  <w:sdtPr>
                                    <w:rPr>
                                      <w:color w:val="A6A6A6" w:themeColor="background1" w:themeShade="A6"/>
                                      <w:sz w:val="36"/>
                                      <w:szCs w:val="36"/>
                                    </w:rPr>
                                    <w:alias w:val="Subtítulo"/>
                                    <w:tag w:val=""/>
                                    <w:id w:val="-1686441493"/>
                                    <w:dataBinding w:prefixMappings="xmlns:ns0='http://purl.org/dc/elements/1.1/' xmlns:ns1='http://schemas.openxmlformats.org/package/2006/metadata/core-properties' " w:xpath="/ns1:coreProperties[1]/ns0:subject[1]" w:storeItemID="{6C3C8BC8-F283-45AE-878A-BAB7291924A1}"/>
                                    <w:text/>
                                  </w:sdtPr>
                                  <w:sdtEndPr/>
                                  <w:sdtContent>
                                    <w:p w:rsidR="00D53E70" w:rsidRPr="002A0A46" w:rsidRDefault="00D53E70">
                                      <w:pPr>
                                        <w:pStyle w:val="Sinespaciado"/>
                                        <w:spacing w:before="120"/>
                                        <w:rPr>
                                          <w:color w:val="A6A6A6" w:themeColor="background1" w:themeShade="A6"/>
                                          <w:sz w:val="36"/>
                                          <w:szCs w:val="36"/>
                                        </w:rPr>
                                      </w:pPr>
                                      <w:r w:rsidRPr="002A0A46">
                                        <w:rPr>
                                          <w:color w:val="A6A6A6" w:themeColor="background1" w:themeShade="A6"/>
                                          <w:sz w:val="36"/>
                                          <w:szCs w:val="36"/>
                                        </w:rPr>
                                        <w:t>Abril 2025</w:t>
                                      </w:r>
                                    </w:p>
                                  </w:sdtContent>
                                </w:sdt>
                              </w:txbxContent>
                            </wps:txbx>
                            <wps:bodyPr rot="0" spcFirstLastPara="0" vertOverflow="overflow" horzOverflow="overflow" vert="horz" wrap="square" lIns="685800" tIns="0" rIns="914400" bIns="0" numCol="1" spcCol="0" rtlCol="0" fromWordArt="0" anchor="b" anchorCtr="0" forceAA="0" compatLnSpc="1">
                              <a:prstTxWarp prst="textNoShape">
                                <a:avLst/>
                              </a:prstTxWarp>
                              <a:noAutofit/>
                            </wps:bodyPr>
                          </wps:wsp>
                        </wpg:wgp>
                      </a:graphicData>
                    </a:graphic>
                    <wp14:sizeRelH relativeFrom="page">
                      <wp14:pctWidth>88200</wp14:pctWidth>
                    </wp14:sizeRelH>
                    <wp14:sizeRelV relativeFrom="page">
                      <wp14:pctHeight>90900</wp14:pctHeight>
                    </wp14:sizeRelV>
                  </wp:anchor>
                </w:drawing>
              </mc:Choice>
              <mc:Fallback>
                <w:pict>
                  <v:group id="Grupo 48" o:spid="_x0000_s1026" style="position:absolute;margin-left:0;margin-top:0;width:540pt;height:10in;z-index:-251657216;mso-width-percent:882;mso-height-percent:909;mso-position-horizontal:center;mso-position-horizontal-relative:page;mso-position-vertical:center;mso-position-vertical-relative:page;mso-width-percent:882;mso-height-percent:909" coordsize="68580,914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">
                    <v:group id="Grupo 49" o:spid="_x0000_s1027" style="position:absolute;width:68580;height:91440" coordsize="68580,914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">
                      <v:rect id="Rectángulo 54" o:spid="_x0000_s1028" style="position:absolute;width:68580;height:914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" fillcolor="#485870 [3122]" stroked="f" strokeweight="1pt">
                        <v:fill color2="#3d4b5f [2882]" angle="348" colors="0 #88acbb;6554f #88acbb" focus="100%" type="gradient"/>
                        <v:textbox inset="54pt,54pt,1in,5in">
                          <w:txbxContent>
                            <w:p w:rsidR="00D53E70" w:rsidRDefault="00D53E70">
                              <w:pPr>
                                <w:pStyle w:val="Sinespaciado"/>
                                <w:rPr>
                                  <w:color w:val="FFFFFF" w:themeColor="background1"/>
                                  <w:sz w:val="48"/>
                                  <w:szCs w:val="48"/>
                                </w:rPr>
                              </w:pPr>
                            </w:p>
                          </w:txbxContent>
                        </v:textbox>
                      </v:rect>
                      <v:group id="Grupo 2" o:spid="_x0000_s1029" style="position:absolute;left:25241;width:43291;height:44910" coordsize="43291,449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">
                        <v:shape id="Forma libre 56" o:spid="_x0000_s1030" style="position:absolute;left:15017;width:28274;height:28352;visibility:visible;mso-wrap-style:square;v-text-anchor:top" coordsize="1781,17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" path="m4,1786l,1782,1776,r5,5l4,1786xe" filled="f" stroked="f">
                          <v:path arrowok="t" o:connecttype="custom" o:connectlocs="6350,2835275;0,2828925;2819400,0;2827338,7938;6350,2835275" o:connectangles="0,0,0,0,0"/>
                        </v:shape>
                        <v:shape id="Forma libre 57" o:spid="_x0000_s1031" style="position:absolute;left:7826;top:2270;width:35465;height:35464;visibility:visible;mso-wrap-style:square;v-text-anchor:top" coordsize="2234,2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" path="m5,2234l,2229,2229,r5,5l5,2234xe" filled="f" stroked="f">
                          <v:path arrowok="t" o:connecttype="custom" o:connectlocs="7938,3546475;0,3538538;3538538,0;3546475,7938;7938,3546475" o:connectangles="0,0,0,0,0"/>
                        </v:shape>
                        <v:shape id="Forma libre 58" o:spid="_x0000_s1032" style="position:absolute;left:8413;top:1095;width:34878;height:34877;visibility:visible;mso-wrap-style:square;v-text-anchor:top" coordsize="2197,21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" path="m9,2197l,2193,2188,r9,10l9,2197xe" filled="f" stroked="f">
                          <v:path arrowok="t" o:connecttype="custom" o:connectlocs="14288,3487738;0,3481388;3473450,0;3487738,15875;14288,3487738" o:connectangles="0,0,0,0,0"/>
                        </v:shape>
                        <v:shape id="Forma libre 59" o:spid="_x0000_s1033" style="position:absolute;left:12160;top:4984;width:31131;height:31211;visibility:visible;mso-wrap-style:square;v-text-anchor:top" coordsize="1961,19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" path="m9,1966l,1957,1952,r9,9l9,1966xe" filled="f" stroked="f">
                          <v:path arrowok="t" o:connecttype="custom" o:connectlocs="14288,3121025;0,3106738;3098800,0;3113088,14288;14288,3121025" o:connectangles="0,0,0,0,0"/>
                        </v:shape>
                        <v:shape id="Forma libre 60" o:spid="_x0000_s1034" style="position:absolute;top:1539;width:43291;height:43371;visibility:visible;mso-wrap-style:square;v-text-anchor:top" coordsize="2727,27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" path="m,2732r,-4l2722,r5,5l,2732xe" filled="f" stroked="f">
                          <v:path arrowok="t" o:connecttype="custom" o:connectlocs="0,4337050;0,4330700;4321175,0;4329113,7938;0,4337050" o:connectangles="0,0,0,0,0"/>
                        </v:shape>
                      </v:group>
                    </v:group>
                    <v:shapetype id="_x0000_t202" coordsize="21600,21600" o:spt="202" path="m,l,21600r21600,l21600,xe">
                      <v:stroke joinstyle="miter"/>
                      <v:path gradientshapeok="t" o:connecttype="rect"/>
                    </v:shapetype>
                    <v:shape id="Cuadro de texto 61" o:spid="_x0000_s1035" type="#_x0000_t202" style="position:absolute;left:95;top:48387;width:68434;height:37897;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" filled="f" stroked="f" strokeweight=".5pt">
                      <v:textbox inset="54pt,0,1in,0">
                        <w:txbxContent>
                          <w:sdt>
                            <w:sdtPr>
                              <w:rPr>
                                <w:rFonts w:asciiTheme="majorHAnsi" w:eastAsiaTheme="majorEastAsia" w:hAnsiTheme="majorHAnsi" w:cstheme="majorBidi"/>
                                <w:caps/>
                                <w:color w:val="FFFFFF" w:themeColor="background1"/>
                                <w:sz w:val="64"/>
                                <w:szCs w:val="64"/>
                              </w:rPr>
                              <w:alias w:val="Título"/>
                              <w:tag w:val=""/>
                              <w:id w:val="1841046763"/>
                              <w:dataBinding w:prefixMappings="xmlns:ns0='http://purl.org/dc/elements/1.1/' xmlns:ns1='http://schemas.openxmlformats.org/package/2006/metadata/core-properties' " w:xpath="/ns1:coreProperties[1]/ns0:title[1]" w:storeItemID="{6C3C8BC8-F283-45AE-878A-BAB7291924A1}"/>
                              <w:text/>
                            </w:sdtPr>
                            <w:sdtEndPr/>
                            <w:sdtContent>
                              <w:p w:rsidR="00D53E70" w:rsidRDefault="00D53E70">
                                <w:pPr>
                                  <w:pStyle w:val="Sinespaciado"/>
                                  <w:rPr>
                                    <w:rFonts w:asciiTheme="majorHAnsi" w:eastAsiaTheme="majorEastAsia" w:hAnsiTheme="majorHAnsi" w:cstheme="majorBidi"/>
                                    <w:caps/>
                                    <w:color w:val="FFFFFF" w:themeColor="background1"/>
                                    <w:sz w:val="64"/>
                                    <w:szCs w:val="64"/>
                                  </w:rPr>
                                </w:pPr>
                                <w:r>
                                  <w:rPr>
                                    <w:rFonts w:asciiTheme="majorHAnsi" w:eastAsiaTheme="majorEastAsia" w:hAnsiTheme="majorHAnsi" w:cstheme="majorBidi"/>
                                    <w:caps/>
                                    <w:color w:val="FFFFFF" w:themeColor="background1"/>
                                    <w:sz w:val="64"/>
                                    <w:szCs w:val="64"/>
                                  </w:rPr>
                                  <w:t>NUEVA MODALIDAD DE ENTREGA DE ALIMENTOS A LA POBLACIÓN NNAJ ATENDIDA EN IDIPRON</w:t>
                                </w:r>
                                <w:r w:rsidR="009958B1">
                                  <w:rPr>
                                    <w:rFonts w:asciiTheme="majorHAnsi" w:eastAsiaTheme="majorEastAsia" w:hAnsiTheme="majorHAnsi" w:cstheme="majorBidi"/>
                                    <w:caps/>
                                    <w:color w:val="FFFFFF" w:themeColor="background1"/>
                                    <w:sz w:val="64"/>
                                    <w:szCs w:val="64"/>
                                  </w:rPr>
                                  <w:t>.</w:t>
                                </w:r>
                                <w:r>
                                  <w:rPr>
                                    <w:rFonts w:asciiTheme="majorHAnsi" w:eastAsiaTheme="majorEastAsia" w:hAnsiTheme="majorHAnsi" w:cstheme="majorBidi"/>
                                    <w:caps/>
                                    <w:color w:val="FFFFFF" w:themeColor="background1"/>
                                    <w:sz w:val="64"/>
                                    <w:szCs w:val="64"/>
                                  </w:rPr>
                                  <w:t xml:space="preserve"> </w:t>
                                </w:r>
                                <w:r w:rsidR="00B6480E">
                                  <w:rPr>
                                    <w:rFonts w:asciiTheme="majorHAnsi" w:eastAsiaTheme="majorEastAsia" w:hAnsiTheme="majorHAnsi" w:cstheme="majorBidi"/>
                                    <w:caps/>
                                    <w:color w:val="FFFFFF" w:themeColor="background1"/>
                                    <w:sz w:val="64"/>
                                    <w:szCs w:val="64"/>
                                  </w:rPr>
                                  <w:t xml:space="preserve">justificación </w:t>
                                </w:r>
                                <w:r>
                                  <w:rPr>
                                    <w:rFonts w:asciiTheme="majorHAnsi" w:eastAsiaTheme="majorEastAsia" w:hAnsiTheme="majorHAnsi" w:cstheme="majorBidi"/>
                                    <w:caps/>
                                    <w:color w:val="FFFFFF" w:themeColor="background1"/>
                                    <w:sz w:val="64"/>
                                    <w:szCs w:val="64"/>
                                  </w:rPr>
                                  <w:t>ESTRUCTURA Y VENTAJAS</w:t>
                                </w:r>
                              </w:p>
                            </w:sdtContent>
                          </w:sdt>
                          <w:sdt>
                            <w:sdtPr>
                              <w:rPr>
                                <w:color w:val="A6A6A6" w:themeColor="background1" w:themeShade="A6"/>
                                <w:sz w:val="36"/>
                                <w:szCs w:val="36"/>
                              </w:rPr>
                              <w:alias w:val="Subtítulo"/>
                              <w:tag w:val=""/>
                              <w:id w:val="-1686441493"/>
                              <w:dataBinding w:prefixMappings="xmlns:ns0='http://purl.org/dc/elements/1.1/' xmlns:ns1='http://schemas.openxmlformats.org/package/2006/metadata/core-properties' " w:xpath="/ns1:coreProperties[1]/ns0:subject[1]" w:storeItemID="{6C3C8BC8-F283-45AE-878A-BAB7291924A1}"/>
                              <w:text/>
                            </w:sdtPr>
                            <w:sdtEndPr/>
                            <w:sdtContent>
                              <w:p w:rsidR="00D53E70" w:rsidRPr="002A0A46" w:rsidRDefault="00D53E70">
                                <w:pPr>
                                  <w:pStyle w:val="Sinespaciado"/>
                                  <w:spacing w:before="120"/>
                                  <w:rPr>
                                    <w:color w:val="A6A6A6" w:themeColor="background1" w:themeShade="A6"/>
                                    <w:sz w:val="36"/>
                                    <w:szCs w:val="36"/>
                                  </w:rPr>
                                </w:pPr>
                                <w:r w:rsidRPr="002A0A46">
                                  <w:rPr>
                                    <w:color w:val="A6A6A6" w:themeColor="background1" w:themeShade="A6"/>
                                    <w:sz w:val="36"/>
                                    <w:szCs w:val="36"/>
                                  </w:rPr>
                                  <w:t>Abril 2025</w:t>
                                </w:r>
                              </w:p>
                            </w:sdtContent>
                          </w:sdt>
                        </w:txbxContent>
                      </v:textbox>
                    </v:shape>
                    <w10:wrap anchorx="page" anchory="page"/>
                  </v:group>
                </w:pict>
              </mc:Fallback>
            </mc:AlternateContent>
          </w:r>
        </w:p>
        <w:p w:rsidR="00D53E70" w:rsidRDefault="00D53E70">
          <w:pPr>
            <w:rPr>
              <w:rFonts w:asciiTheme="majorHAnsi" w:eastAsiaTheme="majorEastAsia" w:hAnsiTheme="majorHAnsi" w:cstheme="majorBidi"/>
              <w:caps/>
              <w:color w:val="FFFFFF" w:themeColor="background1"/>
              <w:sz w:val="64"/>
              <w:szCs w:val="64"/>
              <w:lang w:eastAsia="es-CO"/>
            </w:rPr>
          </w:pPr>
          <w:r>
            <w:rPr>
              <w:rFonts w:asciiTheme="majorHAnsi" w:eastAsiaTheme="majorEastAsia" w:hAnsiTheme="majorHAnsi" w:cstheme="majorBidi"/>
              <w:caps/>
              <w:color w:val="FFFFFF" w:themeColor="background1"/>
              <w:sz w:val="64"/>
              <w:szCs w:val="64"/>
              <w:lang w:eastAsia="es-CO"/>
            </w:rPr>
            <w:br w:type="page"/>
          </w:r>
        </w:p>
      </w:sdtContent>
    </w:sdt>
    <w:p w:rsidR="005B053F" w:rsidRDefault="005B053F" w:rsidP="00760ECF">
      <w:pPr>
        <w:jc w:val="center"/>
        <w:rPr>
          <w:b/>
          <w:sz w:val="40"/>
          <w:szCs w:val="40"/>
        </w:rPr>
      </w:pPr>
    </w:p>
    <w:p w:rsidR="005B053F" w:rsidRDefault="005B053F" w:rsidP="00522DED">
      <w:pPr>
        <w:rPr>
          <w:b/>
          <w:sz w:val="40"/>
          <w:szCs w:val="40"/>
        </w:rPr>
      </w:pPr>
    </w:p>
    <w:sdt>
      <w:sdtPr>
        <w:rPr>
          <w:rFonts w:asciiTheme="minorHAnsi" w:eastAsiaTheme="minorHAnsi" w:hAnsiTheme="minorHAnsi" w:cstheme="minorBidi"/>
          <w:color w:val="auto"/>
          <w:sz w:val="22"/>
          <w:szCs w:val="22"/>
          <w:lang w:val="es-ES" w:eastAsia="en-US"/>
        </w:rPr>
        <w:id w:val="1445275084"/>
        <w:docPartObj>
          <w:docPartGallery w:val="Table of Contents"/>
          <w:docPartUnique/>
        </w:docPartObj>
      </w:sdtPr>
      <w:sdtEndPr>
        <w:rPr>
          <w:b/>
          <w:bCs/>
        </w:rPr>
      </w:sdtEndPr>
      <w:sdtContent>
        <w:p w:rsidR="00FA24F1" w:rsidRPr="00FA24F1" w:rsidRDefault="00FA24F1">
          <w:pPr>
            <w:pStyle w:val="TtuloTDC"/>
            <w:rPr>
              <w:color w:val="000000" w:themeColor="text1"/>
            </w:rPr>
          </w:pPr>
          <w:r w:rsidRPr="00FA24F1">
            <w:rPr>
              <w:color w:val="000000" w:themeColor="text1"/>
              <w:lang w:val="es-ES"/>
            </w:rPr>
            <w:t>Contenido</w:t>
          </w:r>
        </w:p>
        <w:p w:rsidR="00B6480E" w:rsidRDefault="00FA24F1">
          <w:pPr>
            <w:pStyle w:val="TDC1"/>
            <w:tabs>
              <w:tab w:val="right" w:leader="dot" w:pos="8828"/>
            </w:tabs>
            <w:rPr>
              <w:rFonts w:eastAsiaTheme="minorEastAsia"/>
              <w:noProof/>
              <w:lang w:eastAsia="es-CO"/>
            </w:rPr>
          </w:pPr>
          <w:r>
            <w:fldChar w:fldCharType="begin"/>
          </w:r>
          <w:r>
            <w:instrText xml:space="preserve"> TOC \o "1-3" \h \z \u </w:instrText>
          </w:r>
          <w:r>
            <w:fldChar w:fldCharType="separate"/>
          </w:r>
          <w:hyperlink w:anchor="_Toc195633213" w:history="1">
            <w:r w:rsidR="00B6480E" w:rsidRPr="00470E01">
              <w:rPr>
                <w:rStyle w:val="Hipervnculo"/>
                <w:b/>
                <w:noProof/>
              </w:rPr>
              <w:t>I. JUSTIFICACIÓN PARA EL CAMBIO DE MODALIDAD DE LOTES DE ALIMENTOS A OPERADOR LOGISTICO</w:t>
            </w:r>
            <w:r w:rsidR="00B6480E">
              <w:rPr>
                <w:noProof/>
                <w:webHidden/>
              </w:rPr>
              <w:tab/>
            </w:r>
            <w:r w:rsidR="00B6480E">
              <w:rPr>
                <w:noProof/>
                <w:webHidden/>
              </w:rPr>
              <w:fldChar w:fldCharType="begin"/>
            </w:r>
            <w:r w:rsidR="00B6480E">
              <w:rPr>
                <w:noProof/>
                <w:webHidden/>
              </w:rPr>
              <w:instrText xml:space="preserve"> PAGEREF _Toc195633213 \h </w:instrText>
            </w:r>
            <w:r w:rsidR="00B6480E">
              <w:rPr>
                <w:noProof/>
                <w:webHidden/>
              </w:rPr>
            </w:r>
            <w:r w:rsidR="00B6480E">
              <w:rPr>
                <w:noProof/>
                <w:webHidden/>
              </w:rPr>
              <w:fldChar w:fldCharType="separate"/>
            </w:r>
            <w:r w:rsidR="00B6480E">
              <w:rPr>
                <w:noProof/>
                <w:webHidden/>
              </w:rPr>
              <w:t>2</w:t>
            </w:r>
            <w:r w:rsidR="00B6480E">
              <w:rPr>
                <w:noProof/>
                <w:webHidden/>
              </w:rPr>
              <w:fldChar w:fldCharType="end"/>
            </w:r>
          </w:hyperlink>
        </w:p>
        <w:p w:rsidR="00B6480E" w:rsidRDefault="00B6480E">
          <w:pPr>
            <w:pStyle w:val="TDC2"/>
            <w:tabs>
              <w:tab w:val="right" w:leader="dot" w:pos="8828"/>
            </w:tabs>
            <w:rPr>
              <w:rFonts w:eastAsiaTheme="minorEastAsia"/>
              <w:noProof/>
              <w:lang w:eastAsia="es-CO"/>
            </w:rPr>
          </w:pPr>
          <w:hyperlink w:anchor="_Toc195633214" w:history="1">
            <w:r w:rsidRPr="00470E01">
              <w:rPr>
                <w:rStyle w:val="Hipervnculo"/>
                <w:b/>
                <w:noProof/>
              </w:rPr>
              <w:t>1.1 Optimización de la Misionalidad Institucional y Enfoque Estratégico</w:t>
            </w:r>
            <w:r>
              <w:rPr>
                <w:noProof/>
                <w:webHidden/>
              </w:rPr>
              <w:tab/>
            </w:r>
            <w:r>
              <w:rPr>
                <w:noProof/>
                <w:webHidden/>
              </w:rPr>
              <w:fldChar w:fldCharType="begin"/>
            </w:r>
            <w:r>
              <w:rPr>
                <w:noProof/>
                <w:webHidden/>
              </w:rPr>
              <w:instrText xml:space="preserve"> PAGEREF _Toc195633214 \h </w:instrText>
            </w:r>
            <w:r>
              <w:rPr>
                <w:noProof/>
                <w:webHidden/>
              </w:rPr>
            </w:r>
            <w:r>
              <w:rPr>
                <w:noProof/>
                <w:webHidden/>
              </w:rPr>
              <w:fldChar w:fldCharType="separate"/>
            </w:r>
            <w:r>
              <w:rPr>
                <w:noProof/>
                <w:webHidden/>
              </w:rPr>
              <w:t>2</w:t>
            </w:r>
            <w:r>
              <w:rPr>
                <w:noProof/>
                <w:webHidden/>
              </w:rPr>
              <w:fldChar w:fldCharType="end"/>
            </w:r>
          </w:hyperlink>
        </w:p>
        <w:p w:rsidR="00B6480E" w:rsidRDefault="00B6480E">
          <w:pPr>
            <w:pStyle w:val="TDC2"/>
            <w:tabs>
              <w:tab w:val="right" w:leader="dot" w:pos="8828"/>
            </w:tabs>
            <w:rPr>
              <w:rFonts w:eastAsiaTheme="minorEastAsia"/>
              <w:noProof/>
              <w:lang w:eastAsia="es-CO"/>
            </w:rPr>
          </w:pPr>
          <w:hyperlink w:anchor="_Toc195633215" w:history="1">
            <w:r w:rsidRPr="00470E01">
              <w:rPr>
                <w:rStyle w:val="Hipervnculo"/>
                <w:b/>
                <w:noProof/>
              </w:rPr>
              <w:t>1.2 Fortalecimiento del Control y la Trazabilidad de los Alimentos</w:t>
            </w:r>
            <w:r>
              <w:rPr>
                <w:noProof/>
                <w:webHidden/>
              </w:rPr>
              <w:tab/>
            </w:r>
            <w:r>
              <w:rPr>
                <w:noProof/>
                <w:webHidden/>
              </w:rPr>
              <w:fldChar w:fldCharType="begin"/>
            </w:r>
            <w:r>
              <w:rPr>
                <w:noProof/>
                <w:webHidden/>
              </w:rPr>
              <w:instrText xml:space="preserve"> PAGEREF _Toc195633215 \h </w:instrText>
            </w:r>
            <w:r>
              <w:rPr>
                <w:noProof/>
                <w:webHidden/>
              </w:rPr>
            </w:r>
            <w:r>
              <w:rPr>
                <w:noProof/>
                <w:webHidden/>
              </w:rPr>
              <w:fldChar w:fldCharType="separate"/>
            </w:r>
            <w:r>
              <w:rPr>
                <w:noProof/>
                <w:webHidden/>
              </w:rPr>
              <w:t>2</w:t>
            </w:r>
            <w:r>
              <w:rPr>
                <w:noProof/>
                <w:webHidden/>
              </w:rPr>
              <w:fldChar w:fldCharType="end"/>
            </w:r>
          </w:hyperlink>
        </w:p>
        <w:p w:rsidR="00B6480E" w:rsidRDefault="00B6480E">
          <w:pPr>
            <w:pStyle w:val="TDC2"/>
            <w:tabs>
              <w:tab w:val="right" w:leader="dot" w:pos="8828"/>
            </w:tabs>
            <w:rPr>
              <w:rFonts w:eastAsiaTheme="minorEastAsia"/>
              <w:noProof/>
              <w:lang w:eastAsia="es-CO"/>
            </w:rPr>
          </w:pPr>
          <w:hyperlink w:anchor="_Toc195633216" w:history="1">
            <w:r w:rsidRPr="00470E01">
              <w:rPr>
                <w:rStyle w:val="Hipervnculo"/>
                <w:b/>
                <w:noProof/>
              </w:rPr>
              <w:t>1.3 Optimización Presupuestal a Largo Plazo y Eficiencia en Rubros Específicos</w:t>
            </w:r>
            <w:r>
              <w:rPr>
                <w:noProof/>
                <w:webHidden/>
              </w:rPr>
              <w:tab/>
            </w:r>
            <w:r>
              <w:rPr>
                <w:noProof/>
                <w:webHidden/>
              </w:rPr>
              <w:fldChar w:fldCharType="begin"/>
            </w:r>
            <w:r>
              <w:rPr>
                <w:noProof/>
                <w:webHidden/>
              </w:rPr>
              <w:instrText xml:space="preserve"> PAGEREF _Toc195633216 \h </w:instrText>
            </w:r>
            <w:r>
              <w:rPr>
                <w:noProof/>
                <w:webHidden/>
              </w:rPr>
            </w:r>
            <w:r>
              <w:rPr>
                <w:noProof/>
                <w:webHidden/>
              </w:rPr>
              <w:fldChar w:fldCharType="separate"/>
            </w:r>
            <w:r>
              <w:rPr>
                <w:noProof/>
                <w:webHidden/>
              </w:rPr>
              <w:t>3</w:t>
            </w:r>
            <w:r>
              <w:rPr>
                <w:noProof/>
                <w:webHidden/>
              </w:rPr>
              <w:fldChar w:fldCharType="end"/>
            </w:r>
          </w:hyperlink>
        </w:p>
        <w:p w:rsidR="00B6480E" w:rsidRDefault="00B6480E">
          <w:pPr>
            <w:pStyle w:val="TDC2"/>
            <w:tabs>
              <w:tab w:val="right" w:leader="dot" w:pos="8828"/>
            </w:tabs>
            <w:rPr>
              <w:rFonts w:eastAsiaTheme="minorEastAsia"/>
              <w:noProof/>
              <w:lang w:eastAsia="es-CO"/>
            </w:rPr>
          </w:pPr>
          <w:hyperlink w:anchor="_Toc195633217" w:history="1">
            <w:r w:rsidRPr="00470E01">
              <w:rPr>
                <w:rStyle w:val="Hipervnculo"/>
                <w:b/>
                <w:noProof/>
              </w:rPr>
              <w:t>1.4 Ampliación de la Cobertura y Flexibilidad en la Atención</w:t>
            </w:r>
            <w:r>
              <w:rPr>
                <w:noProof/>
                <w:webHidden/>
              </w:rPr>
              <w:tab/>
            </w:r>
            <w:r>
              <w:rPr>
                <w:noProof/>
                <w:webHidden/>
              </w:rPr>
              <w:fldChar w:fldCharType="begin"/>
            </w:r>
            <w:r>
              <w:rPr>
                <w:noProof/>
                <w:webHidden/>
              </w:rPr>
              <w:instrText xml:space="preserve"> PAGEREF _Toc195633217 \h </w:instrText>
            </w:r>
            <w:r>
              <w:rPr>
                <w:noProof/>
                <w:webHidden/>
              </w:rPr>
            </w:r>
            <w:r>
              <w:rPr>
                <w:noProof/>
                <w:webHidden/>
              </w:rPr>
              <w:fldChar w:fldCharType="separate"/>
            </w:r>
            <w:r>
              <w:rPr>
                <w:noProof/>
                <w:webHidden/>
              </w:rPr>
              <w:t>3</w:t>
            </w:r>
            <w:r>
              <w:rPr>
                <w:noProof/>
                <w:webHidden/>
              </w:rPr>
              <w:fldChar w:fldCharType="end"/>
            </w:r>
          </w:hyperlink>
        </w:p>
        <w:p w:rsidR="00B6480E" w:rsidRDefault="00B6480E">
          <w:pPr>
            <w:pStyle w:val="TDC2"/>
            <w:tabs>
              <w:tab w:val="right" w:leader="dot" w:pos="8828"/>
            </w:tabs>
            <w:rPr>
              <w:rFonts w:eastAsiaTheme="minorEastAsia"/>
              <w:noProof/>
              <w:lang w:eastAsia="es-CO"/>
            </w:rPr>
          </w:pPr>
          <w:hyperlink w:anchor="_Toc195633218" w:history="1">
            <w:r w:rsidRPr="00470E01">
              <w:rPr>
                <w:rStyle w:val="Hipervnculo"/>
                <w:b/>
                <w:noProof/>
              </w:rPr>
              <w:t>1.5 Mayor Rigurosidad en la Verificación y Soportes de Entrega</w:t>
            </w:r>
            <w:r>
              <w:rPr>
                <w:noProof/>
                <w:webHidden/>
              </w:rPr>
              <w:tab/>
            </w:r>
            <w:r>
              <w:rPr>
                <w:noProof/>
                <w:webHidden/>
              </w:rPr>
              <w:fldChar w:fldCharType="begin"/>
            </w:r>
            <w:r>
              <w:rPr>
                <w:noProof/>
                <w:webHidden/>
              </w:rPr>
              <w:instrText xml:space="preserve"> PAGEREF _Toc195633218 \h </w:instrText>
            </w:r>
            <w:r>
              <w:rPr>
                <w:noProof/>
                <w:webHidden/>
              </w:rPr>
            </w:r>
            <w:r>
              <w:rPr>
                <w:noProof/>
                <w:webHidden/>
              </w:rPr>
              <w:fldChar w:fldCharType="separate"/>
            </w:r>
            <w:r>
              <w:rPr>
                <w:noProof/>
                <w:webHidden/>
              </w:rPr>
              <w:t>4</w:t>
            </w:r>
            <w:r>
              <w:rPr>
                <w:noProof/>
                <w:webHidden/>
              </w:rPr>
              <w:fldChar w:fldCharType="end"/>
            </w:r>
          </w:hyperlink>
        </w:p>
        <w:p w:rsidR="00B6480E" w:rsidRDefault="00B6480E">
          <w:pPr>
            <w:pStyle w:val="TDC2"/>
            <w:tabs>
              <w:tab w:val="right" w:leader="dot" w:pos="8828"/>
            </w:tabs>
            <w:rPr>
              <w:rFonts w:eastAsiaTheme="minorEastAsia"/>
              <w:noProof/>
              <w:lang w:eastAsia="es-CO"/>
            </w:rPr>
          </w:pPr>
          <w:hyperlink w:anchor="_Toc195633219" w:history="1">
            <w:r w:rsidRPr="00470E01">
              <w:rPr>
                <w:rStyle w:val="Hipervnculo"/>
                <w:b/>
                <w:noProof/>
              </w:rPr>
              <w:t>1.6 Simplificación del Seguimiento y Monitoreo del Cumplimiento de Gramajes</w:t>
            </w:r>
            <w:r>
              <w:rPr>
                <w:noProof/>
                <w:webHidden/>
              </w:rPr>
              <w:tab/>
            </w:r>
            <w:r>
              <w:rPr>
                <w:noProof/>
                <w:webHidden/>
              </w:rPr>
              <w:fldChar w:fldCharType="begin"/>
            </w:r>
            <w:r>
              <w:rPr>
                <w:noProof/>
                <w:webHidden/>
              </w:rPr>
              <w:instrText xml:space="preserve"> PAGEREF _Toc195633219 \h </w:instrText>
            </w:r>
            <w:r>
              <w:rPr>
                <w:noProof/>
                <w:webHidden/>
              </w:rPr>
            </w:r>
            <w:r>
              <w:rPr>
                <w:noProof/>
                <w:webHidden/>
              </w:rPr>
              <w:fldChar w:fldCharType="separate"/>
            </w:r>
            <w:r>
              <w:rPr>
                <w:noProof/>
                <w:webHidden/>
              </w:rPr>
              <w:t>4</w:t>
            </w:r>
            <w:r>
              <w:rPr>
                <w:noProof/>
                <w:webHidden/>
              </w:rPr>
              <w:fldChar w:fldCharType="end"/>
            </w:r>
          </w:hyperlink>
          <w:bookmarkStart w:id="0" w:name="_GoBack"/>
          <w:bookmarkEnd w:id="0"/>
        </w:p>
        <w:p w:rsidR="00B6480E" w:rsidRDefault="00B6480E">
          <w:pPr>
            <w:pStyle w:val="TDC2"/>
            <w:tabs>
              <w:tab w:val="right" w:leader="dot" w:pos="8828"/>
            </w:tabs>
            <w:rPr>
              <w:rFonts w:eastAsiaTheme="minorEastAsia"/>
              <w:noProof/>
              <w:lang w:eastAsia="es-CO"/>
            </w:rPr>
          </w:pPr>
          <w:hyperlink w:anchor="_Toc195633220" w:history="1">
            <w:r w:rsidRPr="00470E01">
              <w:rPr>
                <w:rStyle w:val="Hipervnculo"/>
                <w:b/>
                <w:noProof/>
              </w:rPr>
              <w:t>1.7 Fortalecimiento del Talento Humano y la Experticia Técnica</w:t>
            </w:r>
            <w:r>
              <w:rPr>
                <w:noProof/>
                <w:webHidden/>
              </w:rPr>
              <w:tab/>
            </w:r>
            <w:r>
              <w:rPr>
                <w:noProof/>
                <w:webHidden/>
              </w:rPr>
              <w:fldChar w:fldCharType="begin"/>
            </w:r>
            <w:r>
              <w:rPr>
                <w:noProof/>
                <w:webHidden/>
              </w:rPr>
              <w:instrText xml:space="preserve"> PAGEREF _Toc195633220 \h </w:instrText>
            </w:r>
            <w:r>
              <w:rPr>
                <w:noProof/>
                <w:webHidden/>
              </w:rPr>
            </w:r>
            <w:r>
              <w:rPr>
                <w:noProof/>
                <w:webHidden/>
              </w:rPr>
              <w:fldChar w:fldCharType="separate"/>
            </w:r>
            <w:r>
              <w:rPr>
                <w:noProof/>
                <w:webHidden/>
              </w:rPr>
              <w:t>4</w:t>
            </w:r>
            <w:r>
              <w:rPr>
                <w:noProof/>
                <w:webHidden/>
              </w:rPr>
              <w:fldChar w:fldCharType="end"/>
            </w:r>
          </w:hyperlink>
        </w:p>
        <w:p w:rsidR="00B6480E" w:rsidRDefault="00B6480E">
          <w:pPr>
            <w:pStyle w:val="TDC2"/>
            <w:tabs>
              <w:tab w:val="right" w:leader="dot" w:pos="8828"/>
            </w:tabs>
            <w:rPr>
              <w:rFonts w:eastAsiaTheme="minorEastAsia"/>
              <w:noProof/>
              <w:lang w:eastAsia="es-CO"/>
            </w:rPr>
          </w:pPr>
          <w:hyperlink w:anchor="_Toc195633221" w:history="1">
            <w:r w:rsidRPr="00470E01">
              <w:rPr>
                <w:rStyle w:val="Hipervnculo"/>
                <w:b/>
                <w:noProof/>
              </w:rPr>
              <w:t>1.8 Optimización de la Logística de Transporte y Aseguramiento de la Cadena de Frío</w:t>
            </w:r>
            <w:r>
              <w:rPr>
                <w:noProof/>
                <w:webHidden/>
              </w:rPr>
              <w:tab/>
            </w:r>
            <w:r>
              <w:rPr>
                <w:noProof/>
                <w:webHidden/>
              </w:rPr>
              <w:fldChar w:fldCharType="begin"/>
            </w:r>
            <w:r>
              <w:rPr>
                <w:noProof/>
                <w:webHidden/>
              </w:rPr>
              <w:instrText xml:space="preserve"> PAGEREF _Toc195633221 \h </w:instrText>
            </w:r>
            <w:r>
              <w:rPr>
                <w:noProof/>
                <w:webHidden/>
              </w:rPr>
            </w:r>
            <w:r>
              <w:rPr>
                <w:noProof/>
                <w:webHidden/>
              </w:rPr>
              <w:fldChar w:fldCharType="separate"/>
            </w:r>
            <w:r>
              <w:rPr>
                <w:noProof/>
                <w:webHidden/>
              </w:rPr>
              <w:t>4</w:t>
            </w:r>
            <w:r>
              <w:rPr>
                <w:noProof/>
                <w:webHidden/>
              </w:rPr>
              <w:fldChar w:fldCharType="end"/>
            </w:r>
          </w:hyperlink>
        </w:p>
        <w:p w:rsidR="00B6480E" w:rsidRDefault="00B6480E">
          <w:pPr>
            <w:pStyle w:val="TDC2"/>
            <w:tabs>
              <w:tab w:val="right" w:leader="dot" w:pos="8828"/>
            </w:tabs>
            <w:rPr>
              <w:rFonts w:eastAsiaTheme="minorEastAsia"/>
              <w:noProof/>
              <w:lang w:eastAsia="es-CO"/>
            </w:rPr>
          </w:pPr>
          <w:hyperlink w:anchor="_Toc195633222" w:history="1">
            <w:r w:rsidRPr="00470E01">
              <w:rPr>
                <w:rStyle w:val="Hipervnculo"/>
                <w:b/>
                <w:noProof/>
              </w:rPr>
              <w:t>1.9 Mayor Objetividad en la Verificación de la Calidad Alimentaria</w:t>
            </w:r>
            <w:r>
              <w:rPr>
                <w:noProof/>
                <w:webHidden/>
              </w:rPr>
              <w:tab/>
            </w:r>
            <w:r>
              <w:rPr>
                <w:noProof/>
                <w:webHidden/>
              </w:rPr>
              <w:fldChar w:fldCharType="begin"/>
            </w:r>
            <w:r>
              <w:rPr>
                <w:noProof/>
                <w:webHidden/>
              </w:rPr>
              <w:instrText xml:space="preserve"> PAGEREF _Toc195633222 \h </w:instrText>
            </w:r>
            <w:r>
              <w:rPr>
                <w:noProof/>
                <w:webHidden/>
              </w:rPr>
            </w:r>
            <w:r>
              <w:rPr>
                <w:noProof/>
                <w:webHidden/>
              </w:rPr>
              <w:fldChar w:fldCharType="separate"/>
            </w:r>
            <w:r>
              <w:rPr>
                <w:noProof/>
                <w:webHidden/>
              </w:rPr>
              <w:t>5</w:t>
            </w:r>
            <w:r>
              <w:rPr>
                <w:noProof/>
                <w:webHidden/>
              </w:rPr>
              <w:fldChar w:fldCharType="end"/>
            </w:r>
          </w:hyperlink>
        </w:p>
        <w:p w:rsidR="00B6480E" w:rsidRDefault="00B6480E">
          <w:pPr>
            <w:pStyle w:val="TDC2"/>
            <w:tabs>
              <w:tab w:val="right" w:leader="dot" w:pos="8828"/>
            </w:tabs>
            <w:rPr>
              <w:rFonts w:eastAsiaTheme="minorEastAsia"/>
              <w:noProof/>
              <w:lang w:eastAsia="es-CO"/>
            </w:rPr>
          </w:pPr>
          <w:hyperlink w:anchor="_Toc195633223" w:history="1">
            <w:r w:rsidRPr="00470E01">
              <w:rPr>
                <w:rStyle w:val="Hipervnculo"/>
                <w:b/>
                <w:noProof/>
              </w:rPr>
              <w:t>1.10 Respaldo Contractual y Exigibilidad a través de Pólizas de Cumplimiento</w:t>
            </w:r>
            <w:r>
              <w:rPr>
                <w:noProof/>
                <w:webHidden/>
              </w:rPr>
              <w:tab/>
            </w:r>
            <w:r>
              <w:rPr>
                <w:noProof/>
                <w:webHidden/>
              </w:rPr>
              <w:fldChar w:fldCharType="begin"/>
            </w:r>
            <w:r>
              <w:rPr>
                <w:noProof/>
                <w:webHidden/>
              </w:rPr>
              <w:instrText xml:space="preserve"> PAGEREF _Toc195633223 \h </w:instrText>
            </w:r>
            <w:r>
              <w:rPr>
                <w:noProof/>
                <w:webHidden/>
              </w:rPr>
            </w:r>
            <w:r>
              <w:rPr>
                <w:noProof/>
                <w:webHidden/>
              </w:rPr>
              <w:fldChar w:fldCharType="separate"/>
            </w:r>
            <w:r>
              <w:rPr>
                <w:noProof/>
                <w:webHidden/>
              </w:rPr>
              <w:t>5</w:t>
            </w:r>
            <w:r>
              <w:rPr>
                <w:noProof/>
                <w:webHidden/>
              </w:rPr>
              <w:fldChar w:fldCharType="end"/>
            </w:r>
          </w:hyperlink>
        </w:p>
        <w:p w:rsidR="00B6480E" w:rsidRDefault="00B6480E">
          <w:pPr>
            <w:pStyle w:val="TDC1"/>
            <w:tabs>
              <w:tab w:val="right" w:leader="dot" w:pos="8828"/>
            </w:tabs>
            <w:rPr>
              <w:rFonts w:eastAsiaTheme="minorEastAsia"/>
              <w:noProof/>
              <w:lang w:eastAsia="es-CO"/>
            </w:rPr>
          </w:pPr>
          <w:hyperlink w:anchor="_Toc195633224" w:history="1">
            <w:r w:rsidRPr="00470E01">
              <w:rPr>
                <w:rStyle w:val="Hipervnculo"/>
                <w:b/>
                <w:noProof/>
              </w:rPr>
              <w:t>II. ESTRUCTURA PARA LA EJECUCIÓN DE LA NUEVA MODALIDAD DE ENTREGA DE ALIMENTOS A POBLACIÓN NNAJ A TRAVÉS DE UN OPERADOR LOGÍSTICO</w:t>
            </w:r>
            <w:r>
              <w:rPr>
                <w:noProof/>
                <w:webHidden/>
              </w:rPr>
              <w:tab/>
            </w:r>
            <w:r>
              <w:rPr>
                <w:noProof/>
                <w:webHidden/>
              </w:rPr>
              <w:fldChar w:fldCharType="begin"/>
            </w:r>
            <w:r>
              <w:rPr>
                <w:noProof/>
                <w:webHidden/>
              </w:rPr>
              <w:instrText xml:space="preserve"> PAGEREF _Toc195633224 \h </w:instrText>
            </w:r>
            <w:r>
              <w:rPr>
                <w:noProof/>
                <w:webHidden/>
              </w:rPr>
            </w:r>
            <w:r>
              <w:rPr>
                <w:noProof/>
                <w:webHidden/>
              </w:rPr>
              <w:fldChar w:fldCharType="separate"/>
            </w:r>
            <w:r>
              <w:rPr>
                <w:noProof/>
                <w:webHidden/>
              </w:rPr>
              <w:t>6</w:t>
            </w:r>
            <w:r>
              <w:rPr>
                <w:noProof/>
                <w:webHidden/>
              </w:rPr>
              <w:fldChar w:fldCharType="end"/>
            </w:r>
          </w:hyperlink>
        </w:p>
        <w:p w:rsidR="00B6480E" w:rsidRDefault="00B6480E">
          <w:pPr>
            <w:pStyle w:val="TDC2"/>
            <w:tabs>
              <w:tab w:val="right" w:leader="dot" w:pos="8828"/>
            </w:tabs>
            <w:rPr>
              <w:rFonts w:eastAsiaTheme="minorEastAsia"/>
              <w:noProof/>
              <w:lang w:eastAsia="es-CO"/>
            </w:rPr>
          </w:pPr>
          <w:hyperlink w:anchor="_Toc195633225" w:history="1">
            <w:r w:rsidRPr="00470E01">
              <w:rPr>
                <w:rStyle w:val="Hipervnculo"/>
                <w:b/>
                <w:noProof/>
              </w:rPr>
              <w:t>2.1 Fases de ejecución</w:t>
            </w:r>
            <w:r>
              <w:rPr>
                <w:noProof/>
                <w:webHidden/>
              </w:rPr>
              <w:tab/>
            </w:r>
            <w:r>
              <w:rPr>
                <w:noProof/>
                <w:webHidden/>
              </w:rPr>
              <w:fldChar w:fldCharType="begin"/>
            </w:r>
            <w:r>
              <w:rPr>
                <w:noProof/>
                <w:webHidden/>
              </w:rPr>
              <w:instrText xml:space="preserve"> PAGEREF _Toc195633225 \h </w:instrText>
            </w:r>
            <w:r>
              <w:rPr>
                <w:noProof/>
                <w:webHidden/>
              </w:rPr>
            </w:r>
            <w:r>
              <w:rPr>
                <w:noProof/>
                <w:webHidden/>
              </w:rPr>
              <w:fldChar w:fldCharType="separate"/>
            </w:r>
            <w:r>
              <w:rPr>
                <w:noProof/>
                <w:webHidden/>
              </w:rPr>
              <w:t>6</w:t>
            </w:r>
            <w:r>
              <w:rPr>
                <w:noProof/>
                <w:webHidden/>
              </w:rPr>
              <w:fldChar w:fldCharType="end"/>
            </w:r>
          </w:hyperlink>
        </w:p>
        <w:p w:rsidR="00B6480E" w:rsidRDefault="00B6480E">
          <w:pPr>
            <w:pStyle w:val="TDC2"/>
            <w:tabs>
              <w:tab w:val="right" w:leader="dot" w:pos="8828"/>
            </w:tabs>
            <w:rPr>
              <w:rFonts w:eastAsiaTheme="minorEastAsia"/>
              <w:noProof/>
              <w:lang w:eastAsia="es-CO"/>
            </w:rPr>
          </w:pPr>
          <w:hyperlink w:anchor="_Toc195633226" w:history="1">
            <w:r w:rsidRPr="00470E01">
              <w:rPr>
                <w:rStyle w:val="Hipervnculo"/>
                <w:b/>
                <w:noProof/>
              </w:rPr>
              <w:t>2.2 Descripción de las Fases de ejecución</w:t>
            </w:r>
            <w:r>
              <w:rPr>
                <w:noProof/>
                <w:webHidden/>
              </w:rPr>
              <w:tab/>
            </w:r>
            <w:r>
              <w:rPr>
                <w:noProof/>
                <w:webHidden/>
              </w:rPr>
              <w:fldChar w:fldCharType="begin"/>
            </w:r>
            <w:r>
              <w:rPr>
                <w:noProof/>
                <w:webHidden/>
              </w:rPr>
              <w:instrText xml:space="preserve"> PAGEREF _Toc195633226 \h </w:instrText>
            </w:r>
            <w:r>
              <w:rPr>
                <w:noProof/>
                <w:webHidden/>
              </w:rPr>
            </w:r>
            <w:r>
              <w:rPr>
                <w:noProof/>
                <w:webHidden/>
              </w:rPr>
              <w:fldChar w:fldCharType="separate"/>
            </w:r>
            <w:r>
              <w:rPr>
                <w:noProof/>
                <w:webHidden/>
              </w:rPr>
              <w:t>10</w:t>
            </w:r>
            <w:r>
              <w:rPr>
                <w:noProof/>
                <w:webHidden/>
              </w:rPr>
              <w:fldChar w:fldCharType="end"/>
            </w:r>
          </w:hyperlink>
        </w:p>
        <w:p w:rsidR="00B6480E" w:rsidRDefault="00B6480E">
          <w:pPr>
            <w:pStyle w:val="TDC2"/>
            <w:tabs>
              <w:tab w:val="right" w:leader="dot" w:pos="8828"/>
            </w:tabs>
            <w:rPr>
              <w:rFonts w:eastAsiaTheme="minorEastAsia"/>
              <w:noProof/>
              <w:lang w:eastAsia="es-CO"/>
            </w:rPr>
          </w:pPr>
          <w:hyperlink w:anchor="_Toc195633227" w:history="1">
            <w:r w:rsidRPr="00470E01">
              <w:rPr>
                <w:rStyle w:val="Hipervnculo"/>
                <w:b/>
                <w:noProof/>
              </w:rPr>
              <w:t>2.3 Justificación de la Estructura en Cuatro Fases</w:t>
            </w:r>
            <w:r>
              <w:rPr>
                <w:noProof/>
                <w:webHidden/>
              </w:rPr>
              <w:tab/>
            </w:r>
            <w:r>
              <w:rPr>
                <w:noProof/>
                <w:webHidden/>
              </w:rPr>
              <w:fldChar w:fldCharType="begin"/>
            </w:r>
            <w:r>
              <w:rPr>
                <w:noProof/>
                <w:webHidden/>
              </w:rPr>
              <w:instrText xml:space="preserve"> PAGEREF _Toc195633227 \h </w:instrText>
            </w:r>
            <w:r>
              <w:rPr>
                <w:noProof/>
                <w:webHidden/>
              </w:rPr>
            </w:r>
            <w:r>
              <w:rPr>
                <w:noProof/>
                <w:webHidden/>
              </w:rPr>
              <w:fldChar w:fldCharType="separate"/>
            </w:r>
            <w:r>
              <w:rPr>
                <w:noProof/>
                <w:webHidden/>
              </w:rPr>
              <w:t>11</w:t>
            </w:r>
            <w:r>
              <w:rPr>
                <w:noProof/>
                <w:webHidden/>
              </w:rPr>
              <w:fldChar w:fldCharType="end"/>
            </w:r>
          </w:hyperlink>
        </w:p>
        <w:p w:rsidR="00B6480E" w:rsidRDefault="00B6480E">
          <w:pPr>
            <w:pStyle w:val="TDC2"/>
            <w:tabs>
              <w:tab w:val="right" w:leader="dot" w:pos="8828"/>
            </w:tabs>
            <w:rPr>
              <w:rFonts w:eastAsiaTheme="minorEastAsia"/>
              <w:noProof/>
              <w:lang w:eastAsia="es-CO"/>
            </w:rPr>
          </w:pPr>
          <w:hyperlink w:anchor="_Toc195633228" w:history="1">
            <w:r w:rsidRPr="00470E01">
              <w:rPr>
                <w:rStyle w:val="Hipervnculo"/>
                <w:b/>
                <w:noProof/>
              </w:rPr>
              <w:t>2.4 Garantías que Ofrece la Nueva Estructura</w:t>
            </w:r>
            <w:r>
              <w:rPr>
                <w:noProof/>
                <w:webHidden/>
              </w:rPr>
              <w:tab/>
            </w:r>
            <w:r>
              <w:rPr>
                <w:noProof/>
                <w:webHidden/>
              </w:rPr>
              <w:fldChar w:fldCharType="begin"/>
            </w:r>
            <w:r>
              <w:rPr>
                <w:noProof/>
                <w:webHidden/>
              </w:rPr>
              <w:instrText xml:space="preserve"> PAGEREF _Toc195633228 \h </w:instrText>
            </w:r>
            <w:r>
              <w:rPr>
                <w:noProof/>
                <w:webHidden/>
              </w:rPr>
            </w:r>
            <w:r>
              <w:rPr>
                <w:noProof/>
                <w:webHidden/>
              </w:rPr>
              <w:fldChar w:fldCharType="separate"/>
            </w:r>
            <w:r>
              <w:rPr>
                <w:noProof/>
                <w:webHidden/>
              </w:rPr>
              <w:t>12</w:t>
            </w:r>
            <w:r>
              <w:rPr>
                <w:noProof/>
                <w:webHidden/>
              </w:rPr>
              <w:fldChar w:fldCharType="end"/>
            </w:r>
          </w:hyperlink>
        </w:p>
        <w:p w:rsidR="00B6480E" w:rsidRDefault="00B6480E">
          <w:pPr>
            <w:pStyle w:val="TDC1"/>
            <w:tabs>
              <w:tab w:val="right" w:leader="dot" w:pos="8828"/>
            </w:tabs>
            <w:rPr>
              <w:rFonts w:eastAsiaTheme="minorEastAsia"/>
              <w:noProof/>
              <w:lang w:eastAsia="es-CO"/>
            </w:rPr>
          </w:pPr>
          <w:hyperlink w:anchor="_Toc195633229" w:history="1">
            <w:r w:rsidRPr="00470E01">
              <w:rPr>
                <w:rStyle w:val="Hipervnculo"/>
                <w:b/>
                <w:noProof/>
              </w:rPr>
              <w:t>III. VENTAJAS DE LA CONTRATACIÓN DE UN OPERADOR LOGÍSTICO PARA EL SERVICIO DE ALIMENTACIÓN NNAJ</w:t>
            </w:r>
            <w:r>
              <w:rPr>
                <w:noProof/>
                <w:webHidden/>
              </w:rPr>
              <w:tab/>
            </w:r>
            <w:r>
              <w:rPr>
                <w:noProof/>
                <w:webHidden/>
              </w:rPr>
              <w:fldChar w:fldCharType="begin"/>
            </w:r>
            <w:r>
              <w:rPr>
                <w:noProof/>
                <w:webHidden/>
              </w:rPr>
              <w:instrText xml:space="preserve"> PAGEREF _Toc195633229 \h </w:instrText>
            </w:r>
            <w:r>
              <w:rPr>
                <w:noProof/>
                <w:webHidden/>
              </w:rPr>
            </w:r>
            <w:r>
              <w:rPr>
                <w:noProof/>
                <w:webHidden/>
              </w:rPr>
              <w:fldChar w:fldCharType="separate"/>
            </w:r>
            <w:r>
              <w:rPr>
                <w:noProof/>
                <w:webHidden/>
              </w:rPr>
              <w:t>13</w:t>
            </w:r>
            <w:r>
              <w:rPr>
                <w:noProof/>
                <w:webHidden/>
              </w:rPr>
              <w:fldChar w:fldCharType="end"/>
            </w:r>
          </w:hyperlink>
        </w:p>
        <w:p w:rsidR="00B6480E" w:rsidRDefault="00B6480E">
          <w:pPr>
            <w:pStyle w:val="TDC2"/>
            <w:tabs>
              <w:tab w:val="right" w:leader="dot" w:pos="8828"/>
            </w:tabs>
            <w:rPr>
              <w:rFonts w:eastAsiaTheme="minorEastAsia"/>
              <w:noProof/>
              <w:lang w:eastAsia="es-CO"/>
            </w:rPr>
          </w:pPr>
          <w:hyperlink w:anchor="_Toc195633230" w:history="1">
            <w:r w:rsidRPr="00470E01">
              <w:rPr>
                <w:rStyle w:val="Hipervnculo"/>
                <w:b/>
                <w:noProof/>
              </w:rPr>
              <w:t>3.1. Mayor Eficiencia Operacional y Logística</w:t>
            </w:r>
            <w:r>
              <w:rPr>
                <w:noProof/>
                <w:webHidden/>
              </w:rPr>
              <w:tab/>
            </w:r>
            <w:r>
              <w:rPr>
                <w:noProof/>
                <w:webHidden/>
              </w:rPr>
              <w:fldChar w:fldCharType="begin"/>
            </w:r>
            <w:r>
              <w:rPr>
                <w:noProof/>
                <w:webHidden/>
              </w:rPr>
              <w:instrText xml:space="preserve"> PAGEREF _Toc195633230 \h </w:instrText>
            </w:r>
            <w:r>
              <w:rPr>
                <w:noProof/>
                <w:webHidden/>
              </w:rPr>
            </w:r>
            <w:r>
              <w:rPr>
                <w:noProof/>
                <w:webHidden/>
              </w:rPr>
              <w:fldChar w:fldCharType="separate"/>
            </w:r>
            <w:r>
              <w:rPr>
                <w:noProof/>
                <w:webHidden/>
              </w:rPr>
              <w:t>13</w:t>
            </w:r>
            <w:r>
              <w:rPr>
                <w:noProof/>
                <w:webHidden/>
              </w:rPr>
              <w:fldChar w:fldCharType="end"/>
            </w:r>
          </w:hyperlink>
        </w:p>
        <w:p w:rsidR="00B6480E" w:rsidRDefault="00B6480E">
          <w:pPr>
            <w:pStyle w:val="TDC3"/>
            <w:tabs>
              <w:tab w:val="right" w:leader="dot" w:pos="8828"/>
            </w:tabs>
            <w:rPr>
              <w:rFonts w:eastAsiaTheme="minorEastAsia"/>
              <w:noProof/>
              <w:lang w:eastAsia="es-CO"/>
            </w:rPr>
          </w:pPr>
          <w:hyperlink w:anchor="_Toc195633231" w:history="1">
            <w:r w:rsidRPr="00470E01">
              <w:rPr>
                <w:rStyle w:val="Hipervnculo"/>
                <w:noProof/>
              </w:rPr>
              <w:t>3.1.1 Optimización Integral de la Cadena de Suministro y la Calidad del Alimento Preparado</w:t>
            </w:r>
            <w:r>
              <w:rPr>
                <w:noProof/>
                <w:webHidden/>
              </w:rPr>
              <w:tab/>
            </w:r>
            <w:r>
              <w:rPr>
                <w:noProof/>
                <w:webHidden/>
              </w:rPr>
              <w:fldChar w:fldCharType="begin"/>
            </w:r>
            <w:r>
              <w:rPr>
                <w:noProof/>
                <w:webHidden/>
              </w:rPr>
              <w:instrText xml:space="preserve"> PAGEREF _Toc195633231 \h </w:instrText>
            </w:r>
            <w:r>
              <w:rPr>
                <w:noProof/>
                <w:webHidden/>
              </w:rPr>
            </w:r>
            <w:r>
              <w:rPr>
                <w:noProof/>
                <w:webHidden/>
              </w:rPr>
              <w:fldChar w:fldCharType="separate"/>
            </w:r>
            <w:r>
              <w:rPr>
                <w:noProof/>
                <w:webHidden/>
              </w:rPr>
              <w:t>13</w:t>
            </w:r>
            <w:r>
              <w:rPr>
                <w:noProof/>
                <w:webHidden/>
              </w:rPr>
              <w:fldChar w:fldCharType="end"/>
            </w:r>
          </w:hyperlink>
        </w:p>
        <w:p w:rsidR="00B6480E" w:rsidRDefault="00B6480E">
          <w:pPr>
            <w:pStyle w:val="TDC3"/>
            <w:tabs>
              <w:tab w:val="right" w:leader="dot" w:pos="8828"/>
            </w:tabs>
            <w:rPr>
              <w:rFonts w:eastAsiaTheme="minorEastAsia"/>
              <w:noProof/>
              <w:lang w:eastAsia="es-CO"/>
            </w:rPr>
          </w:pPr>
          <w:hyperlink w:anchor="_Toc195633232" w:history="1">
            <w:r w:rsidRPr="00470E01">
              <w:rPr>
                <w:rStyle w:val="Hipervnculo"/>
                <w:noProof/>
              </w:rPr>
              <w:t>3.1.2. Optimización de la Gestión de Alimentos y Reducción Significativa del Desperdicio</w:t>
            </w:r>
            <w:r>
              <w:rPr>
                <w:noProof/>
                <w:webHidden/>
              </w:rPr>
              <w:tab/>
            </w:r>
            <w:r>
              <w:rPr>
                <w:noProof/>
                <w:webHidden/>
              </w:rPr>
              <w:fldChar w:fldCharType="begin"/>
            </w:r>
            <w:r>
              <w:rPr>
                <w:noProof/>
                <w:webHidden/>
              </w:rPr>
              <w:instrText xml:space="preserve"> PAGEREF _Toc195633232 \h </w:instrText>
            </w:r>
            <w:r>
              <w:rPr>
                <w:noProof/>
                <w:webHidden/>
              </w:rPr>
            </w:r>
            <w:r>
              <w:rPr>
                <w:noProof/>
                <w:webHidden/>
              </w:rPr>
              <w:fldChar w:fldCharType="separate"/>
            </w:r>
            <w:r>
              <w:rPr>
                <w:noProof/>
                <w:webHidden/>
              </w:rPr>
              <w:t>14</w:t>
            </w:r>
            <w:r>
              <w:rPr>
                <w:noProof/>
                <w:webHidden/>
              </w:rPr>
              <w:fldChar w:fldCharType="end"/>
            </w:r>
          </w:hyperlink>
        </w:p>
        <w:p w:rsidR="00B6480E" w:rsidRDefault="00B6480E">
          <w:pPr>
            <w:pStyle w:val="TDC3"/>
            <w:tabs>
              <w:tab w:val="right" w:leader="dot" w:pos="8828"/>
            </w:tabs>
            <w:rPr>
              <w:rFonts w:eastAsiaTheme="minorEastAsia"/>
              <w:noProof/>
              <w:lang w:eastAsia="es-CO"/>
            </w:rPr>
          </w:pPr>
          <w:hyperlink w:anchor="_Toc195633233" w:history="1">
            <w:r w:rsidRPr="00470E01">
              <w:rPr>
                <w:rStyle w:val="Hipervnculo"/>
                <w:noProof/>
              </w:rPr>
              <w:t>3.1.3 Planificación y Coordinación Centralizada</w:t>
            </w:r>
            <w:r>
              <w:rPr>
                <w:noProof/>
                <w:webHidden/>
              </w:rPr>
              <w:tab/>
            </w:r>
            <w:r>
              <w:rPr>
                <w:noProof/>
                <w:webHidden/>
              </w:rPr>
              <w:fldChar w:fldCharType="begin"/>
            </w:r>
            <w:r>
              <w:rPr>
                <w:noProof/>
                <w:webHidden/>
              </w:rPr>
              <w:instrText xml:space="preserve"> PAGEREF _Toc195633233 \h </w:instrText>
            </w:r>
            <w:r>
              <w:rPr>
                <w:noProof/>
                <w:webHidden/>
              </w:rPr>
            </w:r>
            <w:r>
              <w:rPr>
                <w:noProof/>
                <w:webHidden/>
              </w:rPr>
              <w:fldChar w:fldCharType="separate"/>
            </w:r>
            <w:r>
              <w:rPr>
                <w:noProof/>
                <w:webHidden/>
              </w:rPr>
              <w:t>15</w:t>
            </w:r>
            <w:r>
              <w:rPr>
                <w:noProof/>
                <w:webHidden/>
              </w:rPr>
              <w:fldChar w:fldCharType="end"/>
            </w:r>
          </w:hyperlink>
        </w:p>
        <w:p w:rsidR="00B6480E" w:rsidRDefault="00B6480E">
          <w:pPr>
            <w:pStyle w:val="TDC2"/>
            <w:tabs>
              <w:tab w:val="right" w:leader="dot" w:pos="8828"/>
            </w:tabs>
            <w:rPr>
              <w:rFonts w:eastAsiaTheme="minorEastAsia"/>
              <w:noProof/>
              <w:lang w:eastAsia="es-CO"/>
            </w:rPr>
          </w:pPr>
          <w:hyperlink w:anchor="_Toc195633234" w:history="1">
            <w:r w:rsidRPr="00470E01">
              <w:rPr>
                <w:rStyle w:val="Hipervnculo"/>
                <w:b/>
                <w:noProof/>
              </w:rPr>
              <w:t>3.2. Fortalecimiento del Control de Calidad e Inocuidad Alimentaria</w:t>
            </w:r>
            <w:r>
              <w:rPr>
                <w:noProof/>
                <w:webHidden/>
              </w:rPr>
              <w:tab/>
            </w:r>
            <w:r>
              <w:rPr>
                <w:noProof/>
                <w:webHidden/>
              </w:rPr>
              <w:fldChar w:fldCharType="begin"/>
            </w:r>
            <w:r>
              <w:rPr>
                <w:noProof/>
                <w:webHidden/>
              </w:rPr>
              <w:instrText xml:space="preserve"> PAGEREF _Toc195633234 \h </w:instrText>
            </w:r>
            <w:r>
              <w:rPr>
                <w:noProof/>
                <w:webHidden/>
              </w:rPr>
            </w:r>
            <w:r>
              <w:rPr>
                <w:noProof/>
                <w:webHidden/>
              </w:rPr>
              <w:fldChar w:fldCharType="separate"/>
            </w:r>
            <w:r>
              <w:rPr>
                <w:noProof/>
                <w:webHidden/>
              </w:rPr>
              <w:t>16</w:t>
            </w:r>
            <w:r>
              <w:rPr>
                <w:noProof/>
                <w:webHidden/>
              </w:rPr>
              <w:fldChar w:fldCharType="end"/>
            </w:r>
          </w:hyperlink>
        </w:p>
        <w:p w:rsidR="00B6480E" w:rsidRDefault="00B6480E">
          <w:pPr>
            <w:pStyle w:val="TDC2"/>
            <w:tabs>
              <w:tab w:val="right" w:leader="dot" w:pos="8828"/>
            </w:tabs>
            <w:rPr>
              <w:rFonts w:eastAsiaTheme="minorEastAsia"/>
              <w:noProof/>
              <w:lang w:eastAsia="es-CO"/>
            </w:rPr>
          </w:pPr>
          <w:hyperlink w:anchor="_Toc195633235" w:history="1">
            <w:r w:rsidRPr="00470E01">
              <w:rPr>
                <w:rStyle w:val="Hipervnculo"/>
                <w:b/>
                <w:noProof/>
              </w:rPr>
              <w:t>3.3 Mayor Cumplimiento Normativo y Mitigación de Riesgos Legales</w:t>
            </w:r>
            <w:r>
              <w:rPr>
                <w:noProof/>
                <w:webHidden/>
              </w:rPr>
              <w:tab/>
            </w:r>
            <w:r>
              <w:rPr>
                <w:noProof/>
                <w:webHidden/>
              </w:rPr>
              <w:fldChar w:fldCharType="begin"/>
            </w:r>
            <w:r>
              <w:rPr>
                <w:noProof/>
                <w:webHidden/>
              </w:rPr>
              <w:instrText xml:space="preserve"> PAGEREF _Toc195633235 \h </w:instrText>
            </w:r>
            <w:r>
              <w:rPr>
                <w:noProof/>
                <w:webHidden/>
              </w:rPr>
            </w:r>
            <w:r>
              <w:rPr>
                <w:noProof/>
                <w:webHidden/>
              </w:rPr>
              <w:fldChar w:fldCharType="separate"/>
            </w:r>
            <w:r>
              <w:rPr>
                <w:noProof/>
                <w:webHidden/>
              </w:rPr>
              <w:t>17</w:t>
            </w:r>
            <w:r>
              <w:rPr>
                <w:noProof/>
                <w:webHidden/>
              </w:rPr>
              <w:fldChar w:fldCharType="end"/>
            </w:r>
          </w:hyperlink>
        </w:p>
        <w:p w:rsidR="00B6480E" w:rsidRDefault="00B6480E">
          <w:pPr>
            <w:pStyle w:val="TDC2"/>
            <w:tabs>
              <w:tab w:val="right" w:leader="dot" w:pos="8828"/>
            </w:tabs>
            <w:rPr>
              <w:rFonts w:eastAsiaTheme="minorEastAsia"/>
              <w:noProof/>
              <w:lang w:eastAsia="es-CO"/>
            </w:rPr>
          </w:pPr>
          <w:hyperlink w:anchor="_Toc195633236" w:history="1">
            <w:r w:rsidRPr="00470E01">
              <w:rPr>
                <w:rStyle w:val="Hipervnculo"/>
                <w:b/>
                <w:noProof/>
              </w:rPr>
              <w:t>3.4. Mayor Flexibilidad y Adaptabilidad</w:t>
            </w:r>
            <w:r>
              <w:rPr>
                <w:noProof/>
                <w:webHidden/>
              </w:rPr>
              <w:tab/>
            </w:r>
            <w:r>
              <w:rPr>
                <w:noProof/>
                <w:webHidden/>
              </w:rPr>
              <w:fldChar w:fldCharType="begin"/>
            </w:r>
            <w:r>
              <w:rPr>
                <w:noProof/>
                <w:webHidden/>
              </w:rPr>
              <w:instrText xml:space="preserve"> PAGEREF _Toc195633236 \h </w:instrText>
            </w:r>
            <w:r>
              <w:rPr>
                <w:noProof/>
                <w:webHidden/>
              </w:rPr>
            </w:r>
            <w:r>
              <w:rPr>
                <w:noProof/>
                <w:webHidden/>
              </w:rPr>
              <w:fldChar w:fldCharType="separate"/>
            </w:r>
            <w:r>
              <w:rPr>
                <w:noProof/>
                <w:webHidden/>
              </w:rPr>
              <w:t>17</w:t>
            </w:r>
            <w:r>
              <w:rPr>
                <w:noProof/>
                <w:webHidden/>
              </w:rPr>
              <w:fldChar w:fldCharType="end"/>
            </w:r>
          </w:hyperlink>
        </w:p>
        <w:p w:rsidR="00B6480E" w:rsidRDefault="00B6480E">
          <w:pPr>
            <w:pStyle w:val="TDC2"/>
            <w:tabs>
              <w:tab w:val="right" w:leader="dot" w:pos="8828"/>
            </w:tabs>
            <w:rPr>
              <w:rFonts w:eastAsiaTheme="minorEastAsia"/>
              <w:noProof/>
              <w:lang w:eastAsia="es-CO"/>
            </w:rPr>
          </w:pPr>
          <w:hyperlink w:anchor="_Toc195633237" w:history="1">
            <w:r w:rsidRPr="00470E01">
              <w:rPr>
                <w:rStyle w:val="Hipervnculo"/>
                <w:b/>
                <w:noProof/>
              </w:rPr>
              <w:t>3.5. Optimización de la Gestión del Talento Humano</w:t>
            </w:r>
            <w:r>
              <w:rPr>
                <w:noProof/>
                <w:webHidden/>
              </w:rPr>
              <w:tab/>
            </w:r>
            <w:r>
              <w:rPr>
                <w:noProof/>
                <w:webHidden/>
              </w:rPr>
              <w:fldChar w:fldCharType="begin"/>
            </w:r>
            <w:r>
              <w:rPr>
                <w:noProof/>
                <w:webHidden/>
              </w:rPr>
              <w:instrText xml:space="preserve"> PAGEREF _Toc195633237 \h </w:instrText>
            </w:r>
            <w:r>
              <w:rPr>
                <w:noProof/>
                <w:webHidden/>
              </w:rPr>
            </w:r>
            <w:r>
              <w:rPr>
                <w:noProof/>
                <w:webHidden/>
              </w:rPr>
              <w:fldChar w:fldCharType="separate"/>
            </w:r>
            <w:r>
              <w:rPr>
                <w:noProof/>
                <w:webHidden/>
              </w:rPr>
              <w:t>18</w:t>
            </w:r>
            <w:r>
              <w:rPr>
                <w:noProof/>
                <w:webHidden/>
              </w:rPr>
              <w:fldChar w:fldCharType="end"/>
            </w:r>
          </w:hyperlink>
        </w:p>
        <w:p w:rsidR="005B053F" w:rsidRPr="00735BE2" w:rsidRDefault="00FA24F1" w:rsidP="009F08DC">
          <w:r>
            <w:rPr>
              <w:b/>
              <w:bCs/>
              <w:lang w:val="es-ES"/>
            </w:rPr>
            <w:fldChar w:fldCharType="end"/>
          </w:r>
        </w:p>
      </w:sdtContent>
    </w:sdt>
    <w:p w:rsidR="005B053F" w:rsidRPr="005B053F" w:rsidRDefault="005B053F" w:rsidP="00D53E70">
      <w:pPr>
        <w:pStyle w:val="Ttulo1"/>
        <w:shd w:val="clear" w:color="auto" w:fill="808080" w:themeFill="background1" w:themeFillShade="80"/>
        <w:jc w:val="both"/>
        <w:rPr>
          <w:b/>
          <w:color w:val="FFFFFF" w:themeColor="background1"/>
        </w:rPr>
      </w:pPr>
      <w:bookmarkStart w:id="1" w:name="_Toc195633213"/>
      <w:r w:rsidRPr="005B053F">
        <w:rPr>
          <w:b/>
          <w:color w:val="FFFFFF" w:themeColor="background1"/>
        </w:rPr>
        <w:t xml:space="preserve">I. </w:t>
      </w:r>
      <w:r w:rsidR="00C12488">
        <w:rPr>
          <w:b/>
          <w:color w:val="FFFFFF" w:themeColor="background1"/>
        </w:rPr>
        <w:t xml:space="preserve">JUSTIFICACIÓN PARA EL CAMBIO DE </w:t>
      </w:r>
      <w:r w:rsidR="00735BE2">
        <w:rPr>
          <w:b/>
          <w:color w:val="FFFFFF" w:themeColor="background1"/>
        </w:rPr>
        <w:t>MODALIDAD DE</w:t>
      </w:r>
      <w:r w:rsidR="00C12488">
        <w:rPr>
          <w:b/>
          <w:color w:val="FFFFFF" w:themeColor="background1"/>
        </w:rPr>
        <w:t xml:space="preserve"> LOTES DE ALIMENTOS A OPERADOR LOGISTICO</w:t>
      </w:r>
      <w:bookmarkEnd w:id="1"/>
    </w:p>
    <w:p w:rsidR="0007280C" w:rsidRDefault="00C12488" w:rsidP="00BA5313">
      <w:pPr>
        <w:pStyle w:val="NormalWeb"/>
        <w:jc w:val="both"/>
        <w:rPr>
          <w:rFonts w:asciiTheme="minorHAnsi" w:eastAsiaTheme="minorHAnsi" w:hAnsiTheme="minorHAnsi" w:cstheme="minorBidi"/>
          <w:sz w:val="22"/>
          <w:szCs w:val="22"/>
          <w:lang w:eastAsia="en-US"/>
        </w:rPr>
      </w:pPr>
      <w:r w:rsidRPr="00C12488">
        <w:rPr>
          <w:rFonts w:asciiTheme="minorHAnsi" w:eastAsiaTheme="minorHAnsi" w:hAnsiTheme="minorHAnsi" w:cstheme="minorBidi"/>
          <w:sz w:val="22"/>
          <w:szCs w:val="22"/>
          <w:lang w:eastAsia="en-US"/>
        </w:rPr>
        <w:t xml:space="preserve">El Instituto Distrital para la Protección de la Niñez y la Juventud (IDIPRON), en su compromiso ineludible con la garantía de los derechos de la población NNAJ, especialmente en lo referente a la seguridad alimentaria y nutricional, ha tomado la decisión estratégica de modificar la modalidad de entrega de alimentos. Esta transición de un modelo de contratación a través de la Bolsa Mercantil, </w:t>
      </w:r>
      <w:r>
        <w:rPr>
          <w:rFonts w:asciiTheme="minorHAnsi" w:eastAsiaTheme="minorHAnsi" w:hAnsiTheme="minorHAnsi" w:cstheme="minorBidi"/>
          <w:sz w:val="22"/>
          <w:szCs w:val="22"/>
          <w:lang w:eastAsia="en-US"/>
        </w:rPr>
        <w:t xml:space="preserve">por lotes de alimentos </w:t>
      </w:r>
      <w:r w:rsidRPr="00C12488">
        <w:rPr>
          <w:rFonts w:asciiTheme="minorHAnsi" w:eastAsiaTheme="minorHAnsi" w:hAnsiTheme="minorHAnsi" w:cstheme="minorBidi"/>
          <w:sz w:val="22"/>
          <w:szCs w:val="22"/>
          <w:lang w:eastAsia="en-US"/>
        </w:rPr>
        <w:t>con preparación in situ por personal propio en cada Unidad de Protección Integral (UPI) y Unidad de Atención Territorial (UAT), hacia un modelo de licitación pública para la contratación de un operador logístico integral, se fundamenta en una serie de consideraciones críticas que, si bien implican un incremento presupuestal, se traducirán en una mayor eficiencia, calidad, control, cobertura y, en última instancia, en un mejor cumplimiento de la misionalidad institucional y de la política pública de seguridad alimentaria.</w:t>
      </w:r>
    </w:p>
    <w:p w:rsidR="00735BE2" w:rsidRDefault="00735BE2" w:rsidP="00BA5313">
      <w:pPr>
        <w:pStyle w:val="NormalWeb"/>
        <w:jc w:val="both"/>
        <w:rPr>
          <w:rFonts w:asciiTheme="minorHAnsi" w:eastAsiaTheme="minorHAnsi" w:hAnsiTheme="minorHAnsi" w:cstheme="minorBidi"/>
          <w:sz w:val="22"/>
          <w:szCs w:val="22"/>
          <w:lang w:eastAsia="en-US"/>
        </w:rPr>
      </w:pPr>
      <w:r w:rsidRPr="00735BE2">
        <w:rPr>
          <w:rFonts w:asciiTheme="minorHAnsi" w:eastAsiaTheme="minorHAnsi" w:hAnsiTheme="minorHAnsi" w:cstheme="minorBidi"/>
          <w:sz w:val="22"/>
          <w:szCs w:val="22"/>
          <w:lang w:eastAsia="en-US"/>
        </w:rPr>
        <w:t>Este cambio estratégico permitirá al IDIPRON cumplir de manera más eficiente y efectiva con su mandato de garantizar la seguridad alimentaria y nutricional de la población NNAJ en Bogotá, alineándose con la política pública y optimizando el uso de los recursos públicos en beneficio de quienes más lo necesitan. La inversión adicional representa un costo justificado para asegurar una atención de mayor calidad, con mejores controles y una mayor cobertura, impactando positivamente en el bienestar y desarrollo integral de la población atendida.</w:t>
      </w:r>
    </w:p>
    <w:p w:rsidR="00C12488" w:rsidRPr="00C12488" w:rsidRDefault="00C12488" w:rsidP="00C12488">
      <w:pPr>
        <w:pStyle w:val="Ttulo2"/>
        <w:shd w:val="clear" w:color="auto" w:fill="A6A6A6" w:themeFill="background1" w:themeFillShade="A6"/>
        <w:rPr>
          <w:b/>
          <w:color w:val="FFFFFF" w:themeColor="background1"/>
        </w:rPr>
      </w:pPr>
      <w:bookmarkStart w:id="2" w:name="_Toc195633214"/>
      <w:r>
        <w:rPr>
          <w:b/>
          <w:color w:val="FFFFFF" w:themeColor="background1"/>
        </w:rPr>
        <w:t xml:space="preserve">1.1 </w:t>
      </w:r>
      <w:r w:rsidRPr="00C12488">
        <w:rPr>
          <w:b/>
          <w:color w:val="FFFFFF" w:themeColor="background1"/>
        </w:rPr>
        <w:t>Optimización de la Misionalidad Institucional y Enfoque Estratégico</w:t>
      </w:r>
      <w:bookmarkEnd w:id="2"/>
    </w:p>
    <w:p w:rsidR="00C12488" w:rsidRPr="00C12488" w:rsidRDefault="00C12488" w:rsidP="00C12488">
      <w:pPr>
        <w:pStyle w:val="NormalWeb"/>
        <w:jc w:val="both"/>
        <w:rPr>
          <w:rFonts w:asciiTheme="minorHAnsi" w:eastAsiaTheme="minorHAnsi" w:hAnsiTheme="minorHAnsi" w:cstheme="minorBidi"/>
          <w:sz w:val="22"/>
          <w:szCs w:val="22"/>
          <w:lang w:eastAsia="en-US"/>
        </w:rPr>
      </w:pPr>
      <w:r w:rsidRPr="00C12488">
        <w:rPr>
          <w:rFonts w:asciiTheme="minorHAnsi" w:eastAsiaTheme="minorHAnsi" w:hAnsiTheme="minorHAnsi" w:cstheme="minorBidi"/>
          <w:sz w:val="22"/>
          <w:szCs w:val="22"/>
          <w:lang w:eastAsia="en-US"/>
        </w:rPr>
        <w:t>La actividad de preparación directa de alimentos en cada una de las UPIs y UATs, si bien operativa para garantizar la alimentación, desvía recursos humanos, técnicos y administrativos significativos del core misional del IDIPRON, que se centra en la protección integral, la atención especializada y la garantía de derechos de la población NNAJ. La gestión integral de la cadena de suministro de alimentos (adquisición, almacenamiento, distribución, programación, facturación, etc.) representa una carga administrativa y logística considerable que no constituye la especialidad de la institución.</w:t>
      </w:r>
    </w:p>
    <w:p w:rsidR="0007280C" w:rsidRDefault="00C12488" w:rsidP="00C12488">
      <w:pPr>
        <w:pStyle w:val="NormalWeb"/>
        <w:jc w:val="both"/>
        <w:rPr>
          <w:rFonts w:asciiTheme="minorHAnsi" w:eastAsiaTheme="minorHAnsi" w:hAnsiTheme="minorHAnsi" w:cstheme="minorBidi"/>
          <w:sz w:val="22"/>
          <w:szCs w:val="22"/>
          <w:lang w:eastAsia="en-US"/>
        </w:rPr>
      </w:pPr>
      <w:r w:rsidRPr="00C12488">
        <w:rPr>
          <w:rFonts w:asciiTheme="minorHAnsi" w:eastAsiaTheme="minorHAnsi" w:hAnsiTheme="minorHAnsi" w:cstheme="minorBidi"/>
          <w:sz w:val="22"/>
          <w:szCs w:val="22"/>
          <w:lang w:eastAsia="en-US"/>
        </w:rPr>
        <w:t>La contratación de un operador logístico especializado libera al IDIPRON de estas tareas operativas complejas, permitiendo que el personal propio se enfoque en las actividades sustantivas de protección, acompañamiento psicosocial, pedagógico y de restablecimiento de derechos. Esta reorientación estratégica optimiza el uso de los recursos institucionales y fortalece la capacidad del IDIPRON para cumplir su misión fundamental de manera más efectiva.</w:t>
      </w:r>
    </w:p>
    <w:p w:rsidR="00C12488" w:rsidRPr="00C12488" w:rsidRDefault="00C12488" w:rsidP="00C12488">
      <w:pPr>
        <w:pStyle w:val="Ttulo2"/>
        <w:shd w:val="clear" w:color="auto" w:fill="A6A6A6" w:themeFill="background1" w:themeFillShade="A6"/>
        <w:rPr>
          <w:b/>
          <w:color w:val="FFFFFF" w:themeColor="background1"/>
        </w:rPr>
      </w:pPr>
      <w:bookmarkStart w:id="3" w:name="_Toc195633215"/>
      <w:r>
        <w:rPr>
          <w:b/>
          <w:color w:val="FFFFFF" w:themeColor="background1"/>
        </w:rPr>
        <w:t xml:space="preserve">1.2 Fortalecimiento </w:t>
      </w:r>
      <w:r w:rsidRPr="00C12488">
        <w:rPr>
          <w:b/>
          <w:color w:val="FFFFFF" w:themeColor="background1"/>
        </w:rPr>
        <w:t>del</w:t>
      </w:r>
      <w:r w:rsidRPr="00C12488">
        <w:rPr>
          <w:b/>
          <w:color w:val="FFFFFF" w:themeColor="background1"/>
        </w:rPr>
        <w:t xml:space="preserve"> Control y la Trazabilidad de los Alimentos</w:t>
      </w:r>
      <w:bookmarkEnd w:id="3"/>
    </w:p>
    <w:p w:rsidR="00C12488" w:rsidRPr="00C12488" w:rsidRDefault="00C12488" w:rsidP="00C12488">
      <w:pPr>
        <w:pStyle w:val="NormalWeb"/>
        <w:jc w:val="both"/>
        <w:rPr>
          <w:rFonts w:asciiTheme="minorHAnsi" w:eastAsiaTheme="minorHAnsi" w:hAnsiTheme="minorHAnsi" w:cstheme="minorBidi"/>
          <w:sz w:val="22"/>
          <w:szCs w:val="22"/>
          <w:lang w:eastAsia="en-US"/>
        </w:rPr>
      </w:pPr>
      <w:r w:rsidRPr="00C12488">
        <w:rPr>
          <w:rFonts w:asciiTheme="minorHAnsi" w:eastAsiaTheme="minorHAnsi" w:hAnsiTheme="minorHAnsi" w:cstheme="minorBidi"/>
          <w:sz w:val="22"/>
          <w:szCs w:val="22"/>
          <w:lang w:eastAsia="en-US"/>
        </w:rPr>
        <w:t>La modalidad anterior, con la compra descentralizada de alimentos a través de la Bolsa Mercantil y la preparación individualizada en cada UPI/UAT, presentaba desafíos significativos en términos de seguimiento y control de la calidad, cantidad y uso eficiente de los alimentos. La verificación de gramajes en crudo y cocido, el control de inventarios en múltiples puntos, la gestión de alimentos próximos a vencer o no utilizados, y la garantía del cumplimiento estricto de las minutas alimentarias en cada ración, se convertían en procesos complejos y susceptibles a inconsistencias, a pesar del esfuerzo del personal dispuesto.</w:t>
      </w:r>
    </w:p>
    <w:p w:rsidR="00C12488" w:rsidRPr="00C12488" w:rsidRDefault="00C12488" w:rsidP="00C12488">
      <w:pPr>
        <w:pStyle w:val="NormalWeb"/>
        <w:jc w:val="both"/>
        <w:rPr>
          <w:rFonts w:asciiTheme="minorHAnsi" w:eastAsiaTheme="minorHAnsi" w:hAnsiTheme="minorHAnsi" w:cstheme="minorBidi"/>
          <w:sz w:val="22"/>
          <w:szCs w:val="22"/>
          <w:lang w:eastAsia="en-US"/>
        </w:rPr>
      </w:pPr>
    </w:p>
    <w:p w:rsidR="00C12488" w:rsidRDefault="00C12488" w:rsidP="00C12488">
      <w:pPr>
        <w:pStyle w:val="NormalWeb"/>
        <w:jc w:val="both"/>
        <w:rPr>
          <w:rFonts w:asciiTheme="minorHAnsi" w:eastAsiaTheme="minorHAnsi" w:hAnsiTheme="minorHAnsi" w:cstheme="minorBidi"/>
          <w:sz w:val="22"/>
          <w:szCs w:val="22"/>
          <w:lang w:eastAsia="en-US"/>
        </w:rPr>
      </w:pPr>
      <w:r w:rsidRPr="00C12488">
        <w:rPr>
          <w:rFonts w:asciiTheme="minorHAnsi" w:eastAsiaTheme="minorHAnsi" w:hAnsiTheme="minorHAnsi" w:cstheme="minorBidi"/>
          <w:sz w:val="22"/>
          <w:szCs w:val="22"/>
          <w:lang w:eastAsia="en-US"/>
        </w:rPr>
        <w:t>La contratación de un operador logístico integral centraliza la responsabilidad de la gestión alimentaria, desde la adquisición hasta la entrega de las raciones. Esto permite implementar sistemas de control de calidad más rigurosos en cada etapa de la cadena, asegurar el cumplimiento preciso de las minutas alimentarias en términos de gramajes y valor nutricional, y optimizar la gestión de inventarios para minimizar pérdidas y garantizar el uso eficiente de los recursos. La exigencia de perfiles profesionales especializados en logística e ingeniería de alimentos dentro del equipo del operador fortalece aún más estos procesos de control.</w:t>
      </w:r>
    </w:p>
    <w:p w:rsidR="00C12488" w:rsidRPr="00C12488" w:rsidRDefault="00C12488" w:rsidP="00C12488">
      <w:pPr>
        <w:pStyle w:val="Ttulo2"/>
        <w:shd w:val="clear" w:color="auto" w:fill="A6A6A6" w:themeFill="background1" w:themeFillShade="A6"/>
        <w:rPr>
          <w:b/>
          <w:color w:val="FFFFFF" w:themeColor="background1"/>
        </w:rPr>
      </w:pPr>
      <w:bookmarkStart w:id="4" w:name="_Toc195633216"/>
      <w:r>
        <w:rPr>
          <w:b/>
          <w:color w:val="FFFFFF" w:themeColor="background1"/>
        </w:rPr>
        <w:t xml:space="preserve">1.3 </w:t>
      </w:r>
      <w:r w:rsidRPr="00C12488">
        <w:rPr>
          <w:b/>
          <w:color w:val="FFFFFF" w:themeColor="background1"/>
        </w:rPr>
        <w:t>Optimización Presupuestal a Largo Plazo y Eficiencia en Rubros Específicos</w:t>
      </w:r>
      <w:bookmarkEnd w:id="4"/>
    </w:p>
    <w:p w:rsidR="00C12488" w:rsidRPr="00C12488" w:rsidRDefault="00C12488" w:rsidP="00C12488">
      <w:pPr>
        <w:pStyle w:val="NormalWeb"/>
        <w:jc w:val="both"/>
        <w:rPr>
          <w:rFonts w:asciiTheme="minorHAnsi" w:eastAsiaTheme="minorHAnsi" w:hAnsiTheme="minorHAnsi" w:cstheme="minorBidi"/>
          <w:sz w:val="22"/>
          <w:szCs w:val="22"/>
          <w:lang w:eastAsia="en-US"/>
        </w:rPr>
      </w:pPr>
      <w:r w:rsidRPr="00C12488">
        <w:rPr>
          <w:rFonts w:asciiTheme="minorHAnsi" w:eastAsiaTheme="minorHAnsi" w:hAnsiTheme="minorHAnsi" w:cstheme="minorBidi"/>
          <w:sz w:val="22"/>
          <w:szCs w:val="22"/>
          <w:lang w:eastAsia="en-US"/>
        </w:rPr>
        <w:t>Si bien la contratación del operador logístico representa un incremento presupuestal inicial, es crucial analizar el impacto a largo plazo y la eficiencia que se puede lograr en rubros específicos. La reducción de la complejidad operativa interna del IDIPRON, la optimización en la gestión de inventarios y la minimización de pérdidas de alimentos, así como la posibilidad de reasignar recursos de rubros costosos y fluctuantes como los refrigerios industrializados, pueden generar ahorros y una mayor eficiencia en el uso de los recursos a lo largo del tiempo.</w:t>
      </w:r>
    </w:p>
    <w:p w:rsidR="00C12488" w:rsidRDefault="00C12488" w:rsidP="00C12488">
      <w:pPr>
        <w:pStyle w:val="NormalWeb"/>
        <w:jc w:val="both"/>
        <w:rPr>
          <w:rFonts w:asciiTheme="minorHAnsi" w:eastAsiaTheme="minorHAnsi" w:hAnsiTheme="minorHAnsi" w:cstheme="minorBidi"/>
          <w:sz w:val="22"/>
          <w:szCs w:val="22"/>
          <w:lang w:eastAsia="en-US"/>
        </w:rPr>
      </w:pPr>
      <w:r w:rsidRPr="00C12488">
        <w:rPr>
          <w:rFonts w:asciiTheme="minorHAnsi" w:eastAsiaTheme="minorHAnsi" w:hAnsiTheme="minorHAnsi" w:cstheme="minorBidi"/>
          <w:sz w:val="22"/>
          <w:szCs w:val="22"/>
          <w:lang w:eastAsia="en-US"/>
        </w:rPr>
        <w:t xml:space="preserve">La identificación de los refrigerios industrializados, el tamal y la lechona como rubros de alto costo y sensibles a </w:t>
      </w:r>
      <w:r w:rsidR="00F81E2A" w:rsidRPr="00C12488">
        <w:rPr>
          <w:rFonts w:asciiTheme="minorHAnsi" w:eastAsiaTheme="minorHAnsi" w:hAnsiTheme="minorHAnsi" w:cstheme="minorBidi"/>
          <w:sz w:val="22"/>
          <w:szCs w:val="22"/>
          <w:lang w:eastAsia="en-US"/>
        </w:rPr>
        <w:t>las fluctuaciones</w:t>
      </w:r>
      <w:r w:rsidRPr="00C12488">
        <w:rPr>
          <w:rFonts w:asciiTheme="minorHAnsi" w:eastAsiaTheme="minorHAnsi" w:hAnsiTheme="minorHAnsi" w:cstheme="minorBidi"/>
          <w:sz w:val="22"/>
          <w:szCs w:val="22"/>
          <w:lang w:eastAsia="en-US"/>
        </w:rPr>
        <w:t xml:space="preserve"> de la población NNAJ, y la posibilidad de reorientar esos recursos hacia comidas principales, representa una estrategia inteligente para optimizar el presupuesto y garantizar una atención alimentaria más consistente y adaptada a las necesidades nutricionales prioritarias de la población.</w:t>
      </w:r>
    </w:p>
    <w:p w:rsidR="00C12488" w:rsidRPr="00C12488" w:rsidRDefault="00C12488" w:rsidP="00C12488">
      <w:pPr>
        <w:pStyle w:val="Ttulo2"/>
        <w:shd w:val="clear" w:color="auto" w:fill="A6A6A6" w:themeFill="background1" w:themeFillShade="A6"/>
        <w:rPr>
          <w:b/>
          <w:color w:val="FFFFFF" w:themeColor="background1"/>
        </w:rPr>
      </w:pPr>
      <w:bookmarkStart w:id="5" w:name="_Toc195633217"/>
      <w:r>
        <w:rPr>
          <w:b/>
          <w:color w:val="FFFFFF" w:themeColor="background1"/>
        </w:rPr>
        <w:t>1.</w:t>
      </w:r>
      <w:r w:rsidR="00F81E2A">
        <w:rPr>
          <w:b/>
          <w:color w:val="FFFFFF" w:themeColor="background1"/>
        </w:rPr>
        <w:t>4</w:t>
      </w:r>
      <w:r>
        <w:rPr>
          <w:b/>
          <w:color w:val="FFFFFF" w:themeColor="background1"/>
        </w:rPr>
        <w:t xml:space="preserve"> </w:t>
      </w:r>
      <w:r w:rsidRPr="00C12488">
        <w:rPr>
          <w:b/>
          <w:color w:val="FFFFFF" w:themeColor="background1"/>
        </w:rPr>
        <w:t>Ampliación de la Cobertura y Flexibilidad en la Atención</w:t>
      </w:r>
      <w:bookmarkEnd w:id="5"/>
    </w:p>
    <w:p w:rsidR="00C12488" w:rsidRPr="00C12488" w:rsidRDefault="00C12488" w:rsidP="00C12488">
      <w:pPr>
        <w:pStyle w:val="NormalWeb"/>
        <w:jc w:val="both"/>
        <w:rPr>
          <w:rFonts w:asciiTheme="minorHAnsi" w:eastAsiaTheme="minorHAnsi" w:hAnsiTheme="minorHAnsi" w:cstheme="minorBidi"/>
          <w:sz w:val="22"/>
          <w:szCs w:val="22"/>
          <w:lang w:eastAsia="en-US"/>
        </w:rPr>
      </w:pPr>
      <w:r w:rsidRPr="00C12488">
        <w:rPr>
          <w:rFonts w:asciiTheme="minorHAnsi" w:eastAsiaTheme="minorHAnsi" w:hAnsiTheme="minorHAnsi" w:cstheme="minorBidi"/>
          <w:sz w:val="22"/>
          <w:szCs w:val="22"/>
          <w:lang w:eastAsia="en-US"/>
        </w:rPr>
        <w:t>La contratación actual se proyectó para atender al 100% de la población potencialmente beneficiaria en cada UPI/UAT durante un periodo de nueve meses. Sin embargo, la nueva modalidad, al optimizar la gestión logística y administrativa, y al permitir la redistribución flexible de recursos entre diferentes tipos de raciones alimentarias (desayunos, almuerzos, cenas, refrigerios), ofrece la posibilidad real de extender la cobertura y/o la duración del contrato.</w:t>
      </w:r>
    </w:p>
    <w:p w:rsidR="00C12488" w:rsidRPr="00C12488" w:rsidRDefault="00C12488" w:rsidP="00C12488">
      <w:pPr>
        <w:pStyle w:val="NormalWeb"/>
        <w:jc w:val="both"/>
        <w:rPr>
          <w:rFonts w:asciiTheme="minorHAnsi" w:eastAsiaTheme="minorHAnsi" w:hAnsiTheme="minorHAnsi" w:cstheme="minorBidi"/>
          <w:sz w:val="22"/>
          <w:szCs w:val="22"/>
          <w:lang w:eastAsia="en-US"/>
        </w:rPr>
      </w:pPr>
      <w:r w:rsidRPr="00C12488">
        <w:rPr>
          <w:rFonts w:asciiTheme="minorHAnsi" w:eastAsiaTheme="minorHAnsi" w:hAnsiTheme="minorHAnsi" w:cstheme="minorBidi"/>
          <w:sz w:val="22"/>
          <w:szCs w:val="22"/>
          <w:lang w:eastAsia="en-US"/>
        </w:rPr>
        <w:t>La capacidad de trasladar presupuesto entre rubros, como de refrigerios industrializados (de mayor costo unitario y sensibles a la fluctuación de la población) a comidas principales, permite una adaptación dinámica a las necesidades reales de la población atendida, maximizando el impacto de los recursos disponibles y potencialmente extendiendo la atención por un periodo adicional significativo. Esta flexibilidad es crucial dada la naturaleza fluctuante de la asistencia de la población NNAJ a las diferentes modalidades de atención</w:t>
      </w:r>
    </w:p>
    <w:p w:rsidR="00C12488" w:rsidRPr="00C12488" w:rsidRDefault="00C12488" w:rsidP="00C12488">
      <w:pPr>
        <w:pStyle w:val="Ttulo2"/>
        <w:shd w:val="clear" w:color="auto" w:fill="A6A6A6" w:themeFill="background1" w:themeFillShade="A6"/>
        <w:rPr>
          <w:b/>
          <w:color w:val="FFFFFF" w:themeColor="background1"/>
        </w:rPr>
      </w:pPr>
      <w:bookmarkStart w:id="6" w:name="_Toc195633218"/>
      <w:r>
        <w:rPr>
          <w:b/>
          <w:color w:val="FFFFFF" w:themeColor="background1"/>
        </w:rPr>
        <w:t>1.</w:t>
      </w:r>
      <w:r w:rsidR="00F81E2A">
        <w:rPr>
          <w:b/>
          <w:color w:val="FFFFFF" w:themeColor="background1"/>
        </w:rPr>
        <w:t>5</w:t>
      </w:r>
      <w:r>
        <w:rPr>
          <w:b/>
          <w:color w:val="FFFFFF" w:themeColor="background1"/>
        </w:rPr>
        <w:t xml:space="preserve"> </w:t>
      </w:r>
      <w:r w:rsidRPr="00C12488">
        <w:rPr>
          <w:b/>
          <w:color w:val="FFFFFF" w:themeColor="background1"/>
        </w:rPr>
        <w:t>Mayor Rigurosidad en la Verificación y Soportes de Entrega</w:t>
      </w:r>
      <w:bookmarkEnd w:id="6"/>
    </w:p>
    <w:p w:rsidR="00C12488" w:rsidRDefault="00C12488" w:rsidP="00C12488">
      <w:pPr>
        <w:pStyle w:val="NormalWeb"/>
        <w:jc w:val="both"/>
        <w:rPr>
          <w:rFonts w:asciiTheme="minorHAnsi" w:eastAsiaTheme="minorHAnsi" w:hAnsiTheme="minorHAnsi" w:cstheme="minorBidi"/>
          <w:sz w:val="22"/>
          <w:szCs w:val="22"/>
          <w:lang w:eastAsia="en-US"/>
        </w:rPr>
      </w:pPr>
      <w:r w:rsidRPr="00C12488">
        <w:rPr>
          <w:rFonts w:asciiTheme="minorHAnsi" w:eastAsiaTheme="minorHAnsi" w:hAnsiTheme="minorHAnsi" w:cstheme="minorBidi"/>
          <w:sz w:val="22"/>
          <w:szCs w:val="22"/>
          <w:lang w:eastAsia="en-US"/>
        </w:rPr>
        <w:t>La nueva modalidad de contratación establece un sistema de verificación de la entrega de raciones alimentarias con múltiples filtros: personal administrativo de cada UPI/UAT, personal del operador logístico y personal idóneo</w:t>
      </w:r>
      <w:r>
        <w:rPr>
          <w:rFonts w:asciiTheme="minorHAnsi" w:eastAsiaTheme="minorHAnsi" w:hAnsiTheme="minorHAnsi" w:cstheme="minorBidi"/>
          <w:sz w:val="22"/>
          <w:szCs w:val="22"/>
          <w:lang w:eastAsia="en-US"/>
        </w:rPr>
        <w:t xml:space="preserve"> financiero</w:t>
      </w:r>
      <w:r w:rsidRPr="00C12488">
        <w:rPr>
          <w:rFonts w:asciiTheme="minorHAnsi" w:eastAsiaTheme="minorHAnsi" w:hAnsiTheme="minorHAnsi" w:cstheme="minorBidi"/>
          <w:sz w:val="22"/>
          <w:szCs w:val="22"/>
          <w:lang w:eastAsia="en-US"/>
        </w:rPr>
        <w:t xml:space="preserve"> del IDIPRON. Esta triangulación de la información y la exigencia de soportes detallados y verificables incrementan significativamente la transparencia y la rendición de cuentas en la ejecución del contrato, minimizando el riesgo de inconsistencias y garantizando la correcta inversión de los recursos públicos</w:t>
      </w:r>
      <w:r>
        <w:rPr>
          <w:rFonts w:asciiTheme="minorHAnsi" w:eastAsiaTheme="minorHAnsi" w:hAnsiTheme="minorHAnsi" w:cstheme="minorBidi"/>
          <w:sz w:val="22"/>
          <w:szCs w:val="22"/>
          <w:lang w:eastAsia="en-US"/>
        </w:rPr>
        <w:t>.</w:t>
      </w:r>
    </w:p>
    <w:p w:rsidR="00C12488" w:rsidRPr="00F81E2A" w:rsidRDefault="00F81E2A" w:rsidP="00F81E2A">
      <w:pPr>
        <w:pStyle w:val="Ttulo2"/>
        <w:shd w:val="clear" w:color="auto" w:fill="A6A6A6" w:themeFill="background1" w:themeFillShade="A6"/>
        <w:rPr>
          <w:b/>
          <w:color w:val="FFFFFF" w:themeColor="background1"/>
        </w:rPr>
      </w:pPr>
      <w:bookmarkStart w:id="7" w:name="_Toc195633219"/>
      <w:r>
        <w:rPr>
          <w:b/>
          <w:color w:val="FFFFFF" w:themeColor="background1"/>
        </w:rPr>
        <w:t xml:space="preserve">1.6 </w:t>
      </w:r>
      <w:r w:rsidRPr="00F81E2A">
        <w:rPr>
          <w:b/>
          <w:color w:val="FFFFFF" w:themeColor="background1"/>
        </w:rPr>
        <w:t>Simplificación del Seguimiento y Monitoreo del Cumplimiento de Gramajes</w:t>
      </w:r>
      <w:bookmarkEnd w:id="7"/>
    </w:p>
    <w:p w:rsidR="00C12488" w:rsidRDefault="00F81E2A" w:rsidP="00C12488">
      <w:pPr>
        <w:pStyle w:val="NormalWeb"/>
        <w:jc w:val="both"/>
        <w:rPr>
          <w:rFonts w:asciiTheme="minorHAnsi" w:eastAsiaTheme="minorHAnsi" w:hAnsiTheme="minorHAnsi" w:cstheme="minorBidi"/>
          <w:sz w:val="22"/>
          <w:szCs w:val="22"/>
          <w:lang w:eastAsia="en-US"/>
        </w:rPr>
      </w:pPr>
      <w:r w:rsidRPr="00F81E2A">
        <w:rPr>
          <w:rFonts w:asciiTheme="minorHAnsi" w:eastAsiaTheme="minorHAnsi" w:hAnsiTheme="minorHAnsi" w:cstheme="minorBidi"/>
          <w:sz w:val="22"/>
          <w:szCs w:val="22"/>
          <w:lang w:eastAsia="en-US"/>
        </w:rPr>
        <w:t>La verificación del cumplimiento de los gramajes establecidos en las minutas alimentarias se simplifica significativamente con la nueva modalidad. En lugar de realizar un seguimiento complejo en dos fases (crudo y cocido) en múltiples puntos de preparación, el IDIPRON podrá enfocar sus esfuerzos de supervisión en la verificación aleatoria y periódica del gramaje servido directamente a los beneficiarios, de acuerdo con sus características específicas (edad, condición de habitabilidad en calle). Esto facilita el monitoreo del cumplimiento de la política pública de seguridad alimentaria y asegura que las raciones entregadas se ajusten a las necesidades nutricionales de cada grupo poblacional.</w:t>
      </w:r>
    </w:p>
    <w:p w:rsidR="00F81E2A" w:rsidRPr="00F81E2A" w:rsidRDefault="00F81E2A" w:rsidP="00F81E2A">
      <w:pPr>
        <w:pStyle w:val="Ttulo2"/>
        <w:shd w:val="clear" w:color="auto" w:fill="A6A6A6" w:themeFill="background1" w:themeFillShade="A6"/>
        <w:rPr>
          <w:b/>
          <w:color w:val="FFFFFF" w:themeColor="background1"/>
        </w:rPr>
      </w:pPr>
      <w:bookmarkStart w:id="8" w:name="_Toc195633220"/>
      <w:r>
        <w:rPr>
          <w:b/>
          <w:color w:val="FFFFFF" w:themeColor="background1"/>
        </w:rPr>
        <w:t xml:space="preserve">1.7 </w:t>
      </w:r>
      <w:r w:rsidRPr="00F81E2A">
        <w:rPr>
          <w:b/>
          <w:color w:val="FFFFFF" w:themeColor="background1"/>
        </w:rPr>
        <w:t>Fortalecimiento del Talento Humano y la Experticia Técnica</w:t>
      </w:r>
      <w:bookmarkEnd w:id="8"/>
    </w:p>
    <w:p w:rsidR="00F81E2A" w:rsidRPr="00F81E2A" w:rsidRDefault="00F81E2A" w:rsidP="00F81E2A">
      <w:pPr>
        <w:pStyle w:val="NormalWeb"/>
        <w:jc w:val="both"/>
        <w:rPr>
          <w:rFonts w:asciiTheme="minorHAnsi" w:eastAsiaTheme="minorHAnsi" w:hAnsiTheme="minorHAnsi" w:cstheme="minorBidi"/>
          <w:sz w:val="22"/>
          <w:szCs w:val="22"/>
          <w:lang w:eastAsia="en-US"/>
        </w:rPr>
      </w:pPr>
      <w:r w:rsidRPr="00F81E2A">
        <w:rPr>
          <w:rFonts w:asciiTheme="minorHAnsi" w:eastAsiaTheme="minorHAnsi" w:hAnsiTheme="minorHAnsi" w:cstheme="minorBidi"/>
          <w:sz w:val="22"/>
          <w:szCs w:val="22"/>
          <w:lang w:eastAsia="en-US"/>
        </w:rPr>
        <w:t>La contratación de un operador logístico con experiencia demostrada en programas de alimentación a gran escala (PAE, hospitales) garantiza la incorporación de un equipo de profesionales con la formación y la trayectoria necesarias para una gestión eficiente y de calidad desde el inicio del contrato. La exigencia de perfiles específicos como Ingenieros de Alimentos con especialización en logística, Nutricionistas o Ingenieros para la supervisión operativa, y líderes administrativos y de cocina con experiencia, asegura un conocimiento técnico especializado en cada etapa del proceso.</w:t>
      </w:r>
    </w:p>
    <w:p w:rsidR="00C12488" w:rsidRDefault="00F81E2A" w:rsidP="00F81E2A">
      <w:pPr>
        <w:pStyle w:val="NormalWeb"/>
        <w:jc w:val="both"/>
        <w:rPr>
          <w:rFonts w:asciiTheme="minorHAnsi" w:eastAsiaTheme="minorHAnsi" w:hAnsiTheme="minorHAnsi" w:cstheme="minorBidi"/>
          <w:sz w:val="22"/>
          <w:szCs w:val="22"/>
          <w:lang w:eastAsia="en-US"/>
        </w:rPr>
      </w:pPr>
      <w:r w:rsidRPr="00F81E2A">
        <w:rPr>
          <w:rFonts w:asciiTheme="minorHAnsi" w:eastAsiaTheme="minorHAnsi" w:hAnsiTheme="minorHAnsi" w:cstheme="minorBidi"/>
          <w:sz w:val="22"/>
          <w:szCs w:val="22"/>
          <w:lang w:eastAsia="en-US"/>
        </w:rPr>
        <w:t>Esta experticia minimiza la curva de aprendizaje, garantiza el cumplimiento de la normativa sanitaria y nutricional, y fortalece la capacidad de respuesta ante situaciones inesperadas, aspectos que, si bien se gestionaban con el personal propio del IDIPRON, no contaban con la misma especialización y experiencia en la gestión de programas de esta magnitud.</w:t>
      </w:r>
    </w:p>
    <w:p w:rsidR="00F81E2A" w:rsidRPr="00F81E2A" w:rsidRDefault="00F81E2A" w:rsidP="00F81E2A">
      <w:pPr>
        <w:pStyle w:val="Ttulo2"/>
        <w:shd w:val="clear" w:color="auto" w:fill="A6A6A6" w:themeFill="background1" w:themeFillShade="A6"/>
        <w:rPr>
          <w:b/>
          <w:color w:val="FFFFFF" w:themeColor="background1"/>
        </w:rPr>
      </w:pPr>
      <w:bookmarkStart w:id="9" w:name="_Toc195633221"/>
      <w:r>
        <w:rPr>
          <w:b/>
          <w:color w:val="FFFFFF" w:themeColor="background1"/>
        </w:rPr>
        <w:t xml:space="preserve">1.8 </w:t>
      </w:r>
      <w:r w:rsidRPr="00F81E2A">
        <w:rPr>
          <w:b/>
          <w:color w:val="FFFFFF" w:themeColor="background1"/>
        </w:rPr>
        <w:t>Optimización de la Logística de Transporte y Aseguramiento de la Cadena de Frío</w:t>
      </w:r>
      <w:bookmarkEnd w:id="9"/>
    </w:p>
    <w:p w:rsidR="00F81E2A" w:rsidRPr="00F81E2A" w:rsidRDefault="00F81E2A" w:rsidP="00F81E2A">
      <w:pPr>
        <w:pStyle w:val="NormalWeb"/>
        <w:jc w:val="both"/>
        <w:rPr>
          <w:rFonts w:asciiTheme="minorHAnsi" w:eastAsiaTheme="minorHAnsi" w:hAnsiTheme="minorHAnsi" w:cstheme="minorBidi"/>
          <w:sz w:val="22"/>
          <w:szCs w:val="22"/>
          <w:lang w:eastAsia="en-US"/>
        </w:rPr>
      </w:pPr>
      <w:r w:rsidRPr="00F81E2A">
        <w:rPr>
          <w:rFonts w:asciiTheme="minorHAnsi" w:eastAsiaTheme="minorHAnsi" w:hAnsiTheme="minorHAnsi" w:cstheme="minorBidi"/>
          <w:sz w:val="22"/>
          <w:szCs w:val="22"/>
          <w:lang w:eastAsia="en-US"/>
        </w:rPr>
        <w:t>La externalización del transporte de alimentos a un operador logístico especializado garantiza el cumplimiento riguroso de la normativa vigente en relación con el mantenimiento de la cadena de frío, un aspecto crítico para la inocuidad y calidad de los alimentos, especialmente los perecederos. La verificación de las condiciones de los vehículos y la trazabilidad de la temperatura durante el transporte se centralizan y se hacen más robustas bajo la responsabilidad del operador.</w:t>
      </w:r>
    </w:p>
    <w:p w:rsidR="00F81E2A" w:rsidRDefault="00F81E2A" w:rsidP="00F81E2A">
      <w:pPr>
        <w:pStyle w:val="NormalWeb"/>
        <w:jc w:val="both"/>
        <w:rPr>
          <w:rFonts w:asciiTheme="minorHAnsi" w:eastAsiaTheme="minorHAnsi" w:hAnsiTheme="minorHAnsi" w:cstheme="minorBidi"/>
          <w:sz w:val="22"/>
          <w:szCs w:val="22"/>
          <w:lang w:eastAsia="en-US"/>
        </w:rPr>
      </w:pPr>
      <w:r w:rsidRPr="00F81E2A">
        <w:rPr>
          <w:rFonts w:asciiTheme="minorHAnsi" w:eastAsiaTheme="minorHAnsi" w:hAnsiTheme="minorHAnsi" w:cstheme="minorBidi"/>
          <w:sz w:val="22"/>
          <w:szCs w:val="22"/>
          <w:lang w:eastAsia="en-US"/>
        </w:rPr>
        <w:t>La decisión anterior de que ciertos alimentos llegaran directamente a las UPIs descentralizaba el control y dificultaba la verificación del cumplimiento de las fichas técnicas por parte del personal especializado del IDIPRON (Ingenieros de Alimentos ubicados centralmente). La nueva modalidad permite un control más centralizado y riguroso de las características de los alimentos desde su origen hasta la entrega.</w:t>
      </w:r>
    </w:p>
    <w:p w:rsidR="00F81E2A" w:rsidRPr="00F81E2A" w:rsidRDefault="00F81E2A" w:rsidP="00F81E2A">
      <w:pPr>
        <w:pStyle w:val="Ttulo2"/>
        <w:shd w:val="clear" w:color="auto" w:fill="A6A6A6" w:themeFill="background1" w:themeFillShade="A6"/>
        <w:rPr>
          <w:b/>
          <w:color w:val="FFFFFF" w:themeColor="background1"/>
        </w:rPr>
      </w:pPr>
      <w:bookmarkStart w:id="10" w:name="_Toc195633222"/>
      <w:r>
        <w:rPr>
          <w:b/>
          <w:color w:val="FFFFFF" w:themeColor="background1"/>
        </w:rPr>
        <w:t xml:space="preserve">1.9 </w:t>
      </w:r>
      <w:r w:rsidRPr="00F81E2A">
        <w:rPr>
          <w:b/>
          <w:color w:val="FFFFFF" w:themeColor="background1"/>
        </w:rPr>
        <w:t>Mayor Objetividad en la Verificación de la Calidad Alimentaria</w:t>
      </w:r>
      <w:bookmarkEnd w:id="10"/>
    </w:p>
    <w:p w:rsidR="00F81E2A" w:rsidRDefault="00F81E2A" w:rsidP="00F81E2A">
      <w:pPr>
        <w:pStyle w:val="NormalWeb"/>
        <w:jc w:val="both"/>
        <w:rPr>
          <w:rFonts w:asciiTheme="minorHAnsi" w:eastAsiaTheme="minorHAnsi" w:hAnsiTheme="minorHAnsi" w:cstheme="minorBidi"/>
          <w:sz w:val="22"/>
          <w:szCs w:val="22"/>
          <w:lang w:eastAsia="en-US"/>
        </w:rPr>
      </w:pPr>
      <w:r w:rsidRPr="00F81E2A">
        <w:rPr>
          <w:rFonts w:asciiTheme="minorHAnsi" w:eastAsiaTheme="minorHAnsi" w:hAnsiTheme="minorHAnsi" w:cstheme="minorBidi"/>
          <w:sz w:val="22"/>
          <w:szCs w:val="22"/>
          <w:lang w:eastAsia="en-US"/>
        </w:rPr>
        <w:t>Si bien el IDIPRON cuenta con un contrato para la verificación de la calidad de los alimentos a través de pruebas de laboratorio, la aplicación de estas pruebas a la propia entidad contratante podría generar un sesgo en la información. La nueva modalidad de contratación implica que la verificación de la calidad de los alimentos se realizará al operador logístico, un tercero independiente, lo que garantiza una mayor objetividad y transparencia en el proceso de control de calidad.</w:t>
      </w:r>
    </w:p>
    <w:p w:rsidR="00F81E2A" w:rsidRPr="00F81E2A" w:rsidRDefault="00F81E2A" w:rsidP="00F81E2A">
      <w:pPr>
        <w:pStyle w:val="Ttulo2"/>
        <w:shd w:val="clear" w:color="auto" w:fill="A6A6A6" w:themeFill="background1" w:themeFillShade="A6"/>
        <w:rPr>
          <w:b/>
          <w:color w:val="FFFFFF" w:themeColor="background1"/>
        </w:rPr>
      </w:pPr>
      <w:bookmarkStart w:id="11" w:name="_Toc195633223"/>
      <w:r>
        <w:rPr>
          <w:b/>
          <w:color w:val="FFFFFF" w:themeColor="background1"/>
        </w:rPr>
        <w:t xml:space="preserve">1.10 </w:t>
      </w:r>
      <w:r w:rsidRPr="00F81E2A">
        <w:rPr>
          <w:b/>
          <w:color w:val="FFFFFF" w:themeColor="background1"/>
        </w:rPr>
        <w:t>Respaldo Contractual y Exigibilidad a través de Pólizas de Cumplimiento</w:t>
      </w:r>
      <w:bookmarkEnd w:id="11"/>
    </w:p>
    <w:p w:rsidR="00F81E2A" w:rsidRDefault="00735BE2" w:rsidP="00F81E2A">
      <w:pPr>
        <w:pStyle w:val="NormalWeb"/>
        <w:jc w:val="both"/>
        <w:rPr>
          <w:rFonts w:asciiTheme="minorHAnsi" w:eastAsiaTheme="minorHAnsi" w:hAnsiTheme="minorHAnsi" w:cstheme="minorBidi"/>
          <w:sz w:val="22"/>
          <w:szCs w:val="22"/>
          <w:lang w:eastAsia="en-US"/>
        </w:rPr>
      </w:pPr>
      <w:r>
        <w:rPr>
          <w:rFonts w:asciiTheme="minorHAnsi" w:eastAsiaTheme="minorHAnsi" w:hAnsiTheme="minorHAnsi" w:cstheme="minorBidi"/>
          <w:sz w:val="22"/>
          <w:szCs w:val="22"/>
          <w:lang w:eastAsia="en-US"/>
        </w:rPr>
        <w:t>L</w:t>
      </w:r>
      <w:r w:rsidR="00F81E2A" w:rsidRPr="00F81E2A">
        <w:rPr>
          <w:rFonts w:asciiTheme="minorHAnsi" w:eastAsiaTheme="minorHAnsi" w:hAnsiTheme="minorHAnsi" w:cstheme="minorBidi"/>
          <w:sz w:val="22"/>
          <w:szCs w:val="22"/>
          <w:lang w:eastAsia="en-US"/>
        </w:rPr>
        <w:t>a contratación a través de licitación pública permite la exigencia de pólizas de cumplimiento que garantizan el cumplimiento de todos los aspectos técnicos, financieros y legales del contrato por parte del operador logístico. Este respaldo contractual ofrece una mayor seguridad jurídica y mecanismos de exigibilidad más sólidos en comparación con la gestión directa con personal propio, donde la responsabilidad recae directamente en la estructura interna de la institución.</w:t>
      </w:r>
    </w:p>
    <w:p w:rsidR="00735BE2" w:rsidRDefault="00735BE2" w:rsidP="00F81E2A">
      <w:pPr>
        <w:pStyle w:val="NormalWeb"/>
        <w:jc w:val="both"/>
        <w:rPr>
          <w:rFonts w:asciiTheme="minorHAnsi" w:eastAsiaTheme="minorHAnsi" w:hAnsiTheme="minorHAnsi" w:cstheme="minorBidi"/>
          <w:sz w:val="22"/>
          <w:szCs w:val="22"/>
          <w:lang w:eastAsia="en-US"/>
        </w:rPr>
      </w:pPr>
    </w:p>
    <w:p w:rsidR="00735BE2" w:rsidRDefault="00735BE2" w:rsidP="00F81E2A">
      <w:pPr>
        <w:pStyle w:val="NormalWeb"/>
        <w:jc w:val="both"/>
        <w:rPr>
          <w:rFonts w:asciiTheme="minorHAnsi" w:eastAsiaTheme="minorHAnsi" w:hAnsiTheme="minorHAnsi" w:cstheme="minorBidi"/>
          <w:sz w:val="22"/>
          <w:szCs w:val="22"/>
          <w:lang w:eastAsia="en-US"/>
        </w:rPr>
      </w:pPr>
    </w:p>
    <w:p w:rsidR="00735BE2" w:rsidRDefault="00735BE2" w:rsidP="00F81E2A">
      <w:pPr>
        <w:pStyle w:val="NormalWeb"/>
        <w:jc w:val="both"/>
        <w:rPr>
          <w:rFonts w:asciiTheme="minorHAnsi" w:eastAsiaTheme="minorHAnsi" w:hAnsiTheme="minorHAnsi" w:cstheme="minorBidi"/>
          <w:sz w:val="22"/>
          <w:szCs w:val="22"/>
          <w:lang w:eastAsia="en-US"/>
        </w:rPr>
      </w:pPr>
    </w:p>
    <w:p w:rsidR="00735BE2" w:rsidRDefault="00735BE2" w:rsidP="00F81E2A">
      <w:pPr>
        <w:pStyle w:val="NormalWeb"/>
        <w:jc w:val="both"/>
        <w:rPr>
          <w:rFonts w:asciiTheme="minorHAnsi" w:eastAsiaTheme="minorHAnsi" w:hAnsiTheme="minorHAnsi" w:cstheme="minorBidi"/>
          <w:sz w:val="22"/>
          <w:szCs w:val="22"/>
          <w:lang w:eastAsia="en-US"/>
        </w:rPr>
      </w:pPr>
    </w:p>
    <w:p w:rsidR="00735BE2" w:rsidRDefault="00735BE2" w:rsidP="00F81E2A">
      <w:pPr>
        <w:pStyle w:val="NormalWeb"/>
        <w:jc w:val="both"/>
        <w:rPr>
          <w:rFonts w:asciiTheme="minorHAnsi" w:eastAsiaTheme="minorHAnsi" w:hAnsiTheme="minorHAnsi" w:cstheme="minorBidi"/>
          <w:sz w:val="22"/>
          <w:szCs w:val="22"/>
          <w:lang w:eastAsia="en-US"/>
        </w:rPr>
      </w:pPr>
    </w:p>
    <w:p w:rsidR="00735BE2" w:rsidRDefault="00735BE2" w:rsidP="00F81E2A">
      <w:pPr>
        <w:pStyle w:val="NormalWeb"/>
        <w:jc w:val="both"/>
        <w:rPr>
          <w:rFonts w:asciiTheme="minorHAnsi" w:eastAsiaTheme="minorHAnsi" w:hAnsiTheme="minorHAnsi" w:cstheme="minorBidi"/>
          <w:sz w:val="22"/>
          <w:szCs w:val="22"/>
          <w:lang w:eastAsia="en-US"/>
        </w:rPr>
      </w:pPr>
    </w:p>
    <w:p w:rsidR="00735BE2" w:rsidRDefault="00735BE2" w:rsidP="00F81E2A">
      <w:pPr>
        <w:pStyle w:val="NormalWeb"/>
        <w:jc w:val="both"/>
        <w:rPr>
          <w:rFonts w:asciiTheme="minorHAnsi" w:eastAsiaTheme="minorHAnsi" w:hAnsiTheme="minorHAnsi" w:cstheme="minorBidi"/>
          <w:sz w:val="22"/>
          <w:szCs w:val="22"/>
          <w:lang w:eastAsia="en-US"/>
        </w:rPr>
      </w:pPr>
    </w:p>
    <w:p w:rsidR="00735BE2" w:rsidRDefault="00735BE2" w:rsidP="00F81E2A">
      <w:pPr>
        <w:pStyle w:val="NormalWeb"/>
        <w:jc w:val="both"/>
        <w:rPr>
          <w:rFonts w:asciiTheme="minorHAnsi" w:eastAsiaTheme="minorHAnsi" w:hAnsiTheme="minorHAnsi" w:cstheme="minorBidi"/>
          <w:sz w:val="22"/>
          <w:szCs w:val="22"/>
          <w:lang w:eastAsia="en-US"/>
        </w:rPr>
      </w:pPr>
    </w:p>
    <w:p w:rsidR="00735BE2" w:rsidRDefault="00735BE2" w:rsidP="00F81E2A">
      <w:pPr>
        <w:pStyle w:val="NormalWeb"/>
        <w:jc w:val="both"/>
        <w:rPr>
          <w:rFonts w:asciiTheme="minorHAnsi" w:eastAsiaTheme="minorHAnsi" w:hAnsiTheme="minorHAnsi" w:cstheme="minorBidi"/>
          <w:sz w:val="22"/>
          <w:szCs w:val="22"/>
          <w:lang w:eastAsia="en-US"/>
        </w:rPr>
      </w:pPr>
    </w:p>
    <w:p w:rsidR="0007280C" w:rsidRPr="00735BE2" w:rsidRDefault="00C12488" w:rsidP="00735BE2">
      <w:pPr>
        <w:pStyle w:val="Ttulo1"/>
        <w:shd w:val="clear" w:color="auto" w:fill="808080" w:themeFill="background1" w:themeFillShade="80"/>
        <w:jc w:val="both"/>
        <w:rPr>
          <w:b/>
          <w:color w:val="FFFFFF" w:themeColor="background1"/>
        </w:rPr>
      </w:pPr>
      <w:bookmarkStart w:id="12" w:name="_Toc195633224"/>
      <w:r w:rsidRPr="005B053F">
        <w:rPr>
          <w:b/>
          <w:color w:val="FFFFFF" w:themeColor="background1"/>
        </w:rPr>
        <w:t>I</w:t>
      </w:r>
      <w:r>
        <w:rPr>
          <w:b/>
          <w:color w:val="FFFFFF" w:themeColor="background1"/>
        </w:rPr>
        <w:t>I</w:t>
      </w:r>
      <w:r w:rsidRPr="005B053F">
        <w:rPr>
          <w:b/>
          <w:color w:val="FFFFFF" w:themeColor="background1"/>
        </w:rPr>
        <w:t xml:space="preserve">. ESTRUCTURA PARA LA EJECUCIÓN DE LA NUEVA MODALIDAD </w:t>
      </w:r>
      <w:r>
        <w:rPr>
          <w:b/>
          <w:color w:val="FFFFFF" w:themeColor="background1"/>
        </w:rPr>
        <w:t>DE</w:t>
      </w:r>
      <w:r w:rsidRPr="005B053F">
        <w:rPr>
          <w:b/>
          <w:color w:val="FFFFFF" w:themeColor="background1"/>
        </w:rPr>
        <w:t xml:space="preserve"> ENTREGA DE ALIMENTOS </w:t>
      </w:r>
      <w:r>
        <w:rPr>
          <w:b/>
          <w:color w:val="FFFFFF" w:themeColor="background1"/>
        </w:rPr>
        <w:t xml:space="preserve">A POBLACIÓN NNAJ </w:t>
      </w:r>
      <w:r w:rsidRPr="005B053F">
        <w:rPr>
          <w:b/>
          <w:color w:val="FFFFFF" w:themeColor="background1"/>
        </w:rPr>
        <w:t>A TRAV</w:t>
      </w:r>
      <w:r>
        <w:rPr>
          <w:b/>
          <w:color w:val="FFFFFF" w:themeColor="background1"/>
        </w:rPr>
        <w:t>É</w:t>
      </w:r>
      <w:r w:rsidRPr="005B053F">
        <w:rPr>
          <w:b/>
          <w:color w:val="FFFFFF" w:themeColor="background1"/>
        </w:rPr>
        <w:t>S DE UN OPERADOR LOGÍSTICO</w:t>
      </w:r>
      <w:bookmarkEnd w:id="12"/>
    </w:p>
    <w:p w:rsidR="00BA5313" w:rsidRDefault="00BA5313" w:rsidP="00BA5313">
      <w:pPr>
        <w:pStyle w:val="NormalWeb"/>
        <w:jc w:val="both"/>
        <w:rPr>
          <w:rFonts w:asciiTheme="minorHAnsi" w:eastAsiaTheme="minorHAnsi" w:hAnsiTheme="minorHAnsi" w:cstheme="minorBidi"/>
          <w:sz w:val="22"/>
          <w:szCs w:val="22"/>
          <w:lang w:eastAsia="en-US"/>
        </w:rPr>
      </w:pPr>
      <w:r w:rsidRPr="00BA5313">
        <w:rPr>
          <w:rFonts w:asciiTheme="minorHAnsi" w:eastAsiaTheme="minorHAnsi" w:hAnsiTheme="minorHAnsi" w:cstheme="minorBidi"/>
          <w:sz w:val="22"/>
          <w:szCs w:val="22"/>
          <w:lang w:eastAsia="en-US"/>
        </w:rPr>
        <w:t xml:space="preserve">La estructura en cuatro fases para la ejecución de la nueva modalidad de entrega de alimentos a población NNAJ a través de un operador logístico; se ha concebido de esta manera para abordar las complejidades inherentes a la gestión de un servicio de alimentación para una población vulnerable, </w:t>
      </w:r>
      <w:r w:rsidRPr="00BA5313">
        <w:rPr>
          <w:rFonts w:asciiTheme="minorHAnsi" w:eastAsiaTheme="minorHAnsi" w:hAnsiTheme="minorHAnsi" w:cstheme="minorBidi"/>
          <w:bCs/>
          <w:sz w:val="22"/>
          <w:szCs w:val="22"/>
          <w:lang w:eastAsia="en-US"/>
        </w:rPr>
        <w:t>garantizando la eficiencia, la transparencia, la calidad nutricional, la seguridad alimentaria y la trazabilidad</w:t>
      </w:r>
      <w:r w:rsidRPr="00BA5313">
        <w:rPr>
          <w:rFonts w:asciiTheme="minorHAnsi" w:eastAsiaTheme="minorHAnsi" w:hAnsiTheme="minorHAnsi" w:cstheme="minorBidi"/>
          <w:sz w:val="22"/>
          <w:szCs w:val="22"/>
          <w:lang w:eastAsia="en-US"/>
        </w:rPr>
        <w:t xml:space="preserve"> en cada etapa del proceso. Esta estructura se fundamenta en las mejores prácticas de gestión de proyectos y logística, adaptadas a las necesidades específicas del IDIPRON y su población atendida.</w:t>
      </w:r>
    </w:p>
    <w:p w:rsidR="002A0A46" w:rsidRPr="002A0A46" w:rsidRDefault="00735BE2" w:rsidP="002A0A46">
      <w:pPr>
        <w:pStyle w:val="Ttulo2"/>
        <w:shd w:val="clear" w:color="auto" w:fill="A6A6A6" w:themeFill="background1" w:themeFillShade="A6"/>
        <w:rPr>
          <w:b/>
          <w:color w:val="FFFFFF" w:themeColor="background1"/>
        </w:rPr>
      </w:pPr>
      <w:bookmarkStart w:id="13" w:name="_Toc195633225"/>
      <w:r>
        <w:rPr>
          <w:b/>
          <w:color w:val="FFFFFF" w:themeColor="background1"/>
        </w:rPr>
        <w:t>2</w:t>
      </w:r>
      <w:r w:rsidR="002A0A46">
        <w:rPr>
          <w:b/>
          <w:color w:val="FFFFFF" w:themeColor="background1"/>
        </w:rPr>
        <w:t xml:space="preserve">.1 </w:t>
      </w:r>
      <w:r w:rsidR="002A0A46" w:rsidRPr="002A0A46">
        <w:rPr>
          <w:b/>
          <w:color w:val="FFFFFF" w:themeColor="background1"/>
        </w:rPr>
        <w:t>Fases de ejecución</w:t>
      </w:r>
      <w:bookmarkEnd w:id="13"/>
      <w:r w:rsidR="002A0A46" w:rsidRPr="002A0A46">
        <w:rPr>
          <w:b/>
          <w:color w:val="FFFFFF" w:themeColor="background1"/>
        </w:rPr>
        <w:t xml:space="preserve"> </w:t>
      </w:r>
    </w:p>
    <w:p w:rsidR="002A0A46" w:rsidRDefault="002A0A46" w:rsidP="002A0A46">
      <w:pPr>
        <w:rPr>
          <w:rFonts w:ascii="Times New Roman" w:hAnsi="Times New Roman"/>
          <w:szCs w:val="20"/>
          <w:lang w:eastAsia="es-ES"/>
        </w:rPr>
      </w:pPr>
    </w:p>
    <w:p w:rsidR="009958B1" w:rsidRPr="00F13F22" w:rsidRDefault="009958B1" w:rsidP="009958B1">
      <w:pPr>
        <w:jc w:val="both"/>
        <w:rPr>
          <w:rFonts w:ascii="Times New Roman" w:hAnsi="Times New Roman"/>
          <w:szCs w:val="20"/>
          <w:lang w:eastAsia="es-ES"/>
        </w:rPr>
      </w:pPr>
      <w:r>
        <w:rPr>
          <w:rFonts w:ascii="Times New Roman" w:hAnsi="Times New Roman"/>
          <w:szCs w:val="20"/>
          <w:lang w:eastAsia="es-ES"/>
        </w:rPr>
        <w:t xml:space="preserve">A continuación, se discrimina las actividades que se desarrollaran en cada de las IV fases de ejecución. </w:t>
      </w:r>
    </w:p>
    <w:tbl>
      <w:tblPr>
        <w:tblW w:w="5000" w:type="pct"/>
        <w:tblCellMar>
          <w:left w:w="70" w:type="dxa"/>
          <w:right w:w="70" w:type="dxa"/>
        </w:tblCellMar>
        <w:tblLook w:val="04A0" w:firstRow="1" w:lastRow="0" w:firstColumn="1" w:lastColumn="0" w:noHBand="0" w:noVBand="1"/>
      </w:tblPr>
      <w:tblGrid>
        <w:gridCol w:w="8818"/>
      </w:tblGrid>
      <w:tr w:rsidR="002A0A46" w:rsidRPr="00F13F22" w:rsidTr="00F3402A">
        <w:trPr>
          <w:trHeight w:val="320"/>
        </w:trPr>
        <w:tc>
          <w:tcPr>
            <w:tcW w:w="5000" w:type="pct"/>
            <w:tcBorders>
              <w:top w:val="single" w:sz="8" w:space="0" w:color="auto"/>
              <w:left w:val="single" w:sz="8" w:space="0" w:color="auto"/>
              <w:bottom w:val="single" w:sz="8" w:space="0" w:color="auto"/>
              <w:right w:val="single" w:sz="8" w:space="0" w:color="auto"/>
            </w:tcBorders>
            <w:shd w:val="clear" w:color="auto" w:fill="808080" w:themeFill="background1" w:themeFillShade="80"/>
            <w:vAlign w:val="bottom"/>
            <w:hideMark/>
          </w:tcPr>
          <w:p w:rsidR="002A0A46" w:rsidRPr="009958B1" w:rsidRDefault="002A0A46" w:rsidP="00F3402A">
            <w:pPr>
              <w:rPr>
                <w:rFonts w:cstheme="minorHAnsi"/>
                <w:b/>
                <w:bCs/>
                <w:color w:val="FFFFFF"/>
              </w:rPr>
            </w:pPr>
            <w:r w:rsidRPr="009958B1">
              <w:rPr>
                <w:rFonts w:cstheme="minorHAnsi"/>
                <w:b/>
                <w:bCs/>
                <w:color w:val="FFFFFF"/>
              </w:rPr>
              <w:t xml:space="preserve"> FASE I DE PLANEACIÓN Y ALISTAMIENTO </w:t>
            </w:r>
          </w:p>
        </w:tc>
      </w:tr>
      <w:tr w:rsidR="002A0A46" w:rsidRPr="00F13F22" w:rsidTr="00F3402A">
        <w:trPr>
          <w:trHeight w:val="580"/>
        </w:trPr>
        <w:tc>
          <w:tcPr>
            <w:tcW w:w="5000" w:type="pct"/>
            <w:tcBorders>
              <w:top w:val="nil"/>
              <w:left w:val="single" w:sz="8" w:space="0" w:color="auto"/>
              <w:bottom w:val="single" w:sz="4" w:space="0" w:color="auto"/>
              <w:right w:val="single" w:sz="8" w:space="0" w:color="auto"/>
            </w:tcBorders>
            <w:shd w:val="clear" w:color="000000" w:fill="FFFFFF"/>
            <w:vAlign w:val="bottom"/>
            <w:hideMark/>
          </w:tcPr>
          <w:p w:rsidR="002A0A46" w:rsidRPr="009958B1" w:rsidRDefault="002A0A46" w:rsidP="00F3402A">
            <w:pPr>
              <w:rPr>
                <w:rFonts w:cstheme="minorHAnsi"/>
                <w:b/>
                <w:bCs/>
                <w:color w:val="000000"/>
              </w:rPr>
            </w:pPr>
            <w:r w:rsidRPr="009958B1">
              <w:rPr>
                <w:rFonts w:cstheme="minorHAnsi"/>
                <w:b/>
                <w:bCs/>
                <w:color w:val="000000"/>
              </w:rPr>
              <w:t>1.1 Reconocimiento de infraestructura, áreas de almacenamiento y preparación de alimentos, menaje y equipamiento en cada una de las UPIS y UATs</w:t>
            </w:r>
          </w:p>
        </w:tc>
      </w:tr>
      <w:tr w:rsidR="002A0A46" w:rsidRPr="00F13F22" w:rsidTr="00F3402A">
        <w:trPr>
          <w:trHeight w:val="290"/>
        </w:trPr>
        <w:tc>
          <w:tcPr>
            <w:tcW w:w="5000" w:type="pct"/>
            <w:tcBorders>
              <w:top w:val="nil"/>
              <w:left w:val="single" w:sz="8" w:space="0" w:color="auto"/>
              <w:bottom w:val="single" w:sz="4" w:space="0" w:color="auto"/>
              <w:right w:val="single" w:sz="8" w:space="0" w:color="auto"/>
            </w:tcBorders>
            <w:shd w:val="clear" w:color="000000" w:fill="FFFFFF"/>
            <w:vAlign w:val="bottom"/>
            <w:hideMark/>
          </w:tcPr>
          <w:p w:rsidR="002A0A46" w:rsidRPr="009958B1" w:rsidRDefault="002A0A46" w:rsidP="00F3402A">
            <w:pPr>
              <w:rPr>
                <w:rFonts w:cstheme="minorHAnsi"/>
                <w:b/>
                <w:bCs/>
                <w:color w:val="000000"/>
              </w:rPr>
            </w:pPr>
            <w:r w:rsidRPr="009958B1">
              <w:rPr>
                <w:rFonts w:cstheme="minorHAnsi"/>
                <w:b/>
                <w:bCs/>
                <w:color w:val="000000"/>
              </w:rPr>
              <w:t xml:space="preserve">1.2 Plan de alistamiento técnico  </w:t>
            </w:r>
          </w:p>
        </w:tc>
      </w:tr>
      <w:tr w:rsidR="002A0A46" w:rsidRPr="00F13F22" w:rsidTr="00F3402A">
        <w:trPr>
          <w:trHeight w:val="290"/>
        </w:trPr>
        <w:tc>
          <w:tcPr>
            <w:tcW w:w="5000" w:type="pct"/>
            <w:tcBorders>
              <w:top w:val="nil"/>
              <w:left w:val="single" w:sz="8" w:space="0" w:color="auto"/>
              <w:bottom w:val="single" w:sz="4" w:space="0" w:color="auto"/>
              <w:right w:val="single" w:sz="8" w:space="0" w:color="auto"/>
            </w:tcBorders>
            <w:shd w:val="clear" w:color="000000" w:fill="FFFFFF"/>
            <w:vAlign w:val="bottom"/>
          </w:tcPr>
          <w:p w:rsidR="002A0A46" w:rsidRPr="009958B1" w:rsidRDefault="002A0A46" w:rsidP="00F3402A">
            <w:pPr>
              <w:rPr>
                <w:rFonts w:cstheme="minorHAnsi"/>
                <w:b/>
                <w:bCs/>
                <w:color w:val="000000"/>
              </w:rPr>
            </w:pPr>
            <w:r w:rsidRPr="009958B1">
              <w:rPr>
                <w:rFonts w:cstheme="minorHAnsi"/>
                <w:b/>
                <w:bCs/>
                <w:color w:val="000000"/>
              </w:rPr>
              <w:t>1.3 Plan de Control Sanitario</w:t>
            </w:r>
          </w:p>
        </w:tc>
      </w:tr>
      <w:tr w:rsidR="002A0A46" w:rsidRPr="00F13F22" w:rsidTr="00F3402A">
        <w:trPr>
          <w:trHeight w:val="290"/>
        </w:trPr>
        <w:tc>
          <w:tcPr>
            <w:tcW w:w="5000" w:type="pct"/>
            <w:tcBorders>
              <w:top w:val="nil"/>
              <w:left w:val="single" w:sz="8" w:space="0" w:color="auto"/>
              <w:bottom w:val="single" w:sz="4" w:space="0" w:color="auto"/>
              <w:right w:val="single" w:sz="8" w:space="0" w:color="auto"/>
            </w:tcBorders>
            <w:shd w:val="clear" w:color="auto" w:fill="auto"/>
            <w:vAlign w:val="bottom"/>
            <w:hideMark/>
          </w:tcPr>
          <w:p w:rsidR="002A0A46" w:rsidRPr="009958B1" w:rsidRDefault="002A0A46" w:rsidP="00F3402A">
            <w:pPr>
              <w:rPr>
                <w:rFonts w:cstheme="minorHAnsi"/>
                <w:color w:val="000000"/>
              </w:rPr>
            </w:pPr>
            <w:r w:rsidRPr="009958B1">
              <w:rPr>
                <w:rFonts w:cstheme="minorHAnsi"/>
                <w:color w:val="000000"/>
              </w:rPr>
              <w:t>1.3.1 Higiene y Desinfección</w:t>
            </w:r>
          </w:p>
        </w:tc>
      </w:tr>
      <w:tr w:rsidR="002A0A46" w:rsidRPr="00F13F22" w:rsidTr="00F3402A">
        <w:trPr>
          <w:trHeight w:val="290"/>
        </w:trPr>
        <w:tc>
          <w:tcPr>
            <w:tcW w:w="5000" w:type="pct"/>
            <w:tcBorders>
              <w:top w:val="nil"/>
              <w:left w:val="single" w:sz="8" w:space="0" w:color="auto"/>
              <w:bottom w:val="single" w:sz="4" w:space="0" w:color="auto"/>
              <w:right w:val="single" w:sz="8" w:space="0" w:color="auto"/>
            </w:tcBorders>
            <w:shd w:val="clear" w:color="auto" w:fill="auto"/>
            <w:vAlign w:val="bottom"/>
            <w:hideMark/>
          </w:tcPr>
          <w:p w:rsidR="002A0A46" w:rsidRPr="009958B1" w:rsidRDefault="002A0A46" w:rsidP="00F3402A">
            <w:pPr>
              <w:rPr>
                <w:rFonts w:cstheme="minorHAnsi"/>
                <w:color w:val="000000"/>
              </w:rPr>
            </w:pPr>
            <w:r w:rsidRPr="009958B1">
              <w:rPr>
                <w:rFonts w:cstheme="minorHAnsi"/>
                <w:color w:val="000000"/>
              </w:rPr>
              <w:t xml:space="preserve">1.3.2 Residuos solidos </w:t>
            </w:r>
          </w:p>
        </w:tc>
      </w:tr>
      <w:tr w:rsidR="002A0A46" w:rsidRPr="00F13F22" w:rsidTr="00F3402A">
        <w:trPr>
          <w:trHeight w:val="290"/>
        </w:trPr>
        <w:tc>
          <w:tcPr>
            <w:tcW w:w="5000" w:type="pct"/>
            <w:tcBorders>
              <w:top w:val="nil"/>
              <w:left w:val="single" w:sz="8" w:space="0" w:color="auto"/>
              <w:bottom w:val="single" w:sz="4" w:space="0" w:color="auto"/>
              <w:right w:val="single" w:sz="8" w:space="0" w:color="auto"/>
            </w:tcBorders>
            <w:shd w:val="clear" w:color="auto" w:fill="auto"/>
            <w:vAlign w:val="bottom"/>
            <w:hideMark/>
          </w:tcPr>
          <w:p w:rsidR="002A0A46" w:rsidRPr="009958B1" w:rsidRDefault="002A0A46" w:rsidP="00F3402A">
            <w:pPr>
              <w:rPr>
                <w:rFonts w:cstheme="minorHAnsi"/>
                <w:color w:val="000000"/>
              </w:rPr>
            </w:pPr>
            <w:r w:rsidRPr="009958B1">
              <w:rPr>
                <w:rFonts w:cstheme="minorHAnsi"/>
                <w:color w:val="000000"/>
              </w:rPr>
              <w:t>1.3.3 Gestión de plagas</w:t>
            </w:r>
          </w:p>
        </w:tc>
      </w:tr>
      <w:tr w:rsidR="002A0A46" w:rsidRPr="00F13F22" w:rsidTr="00F3402A">
        <w:trPr>
          <w:trHeight w:val="290"/>
        </w:trPr>
        <w:tc>
          <w:tcPr>
            <w:tcW w:w="5000" w:type="pct"/>
            <w:tcBorders>
              <w:top w:val="nil"/>
              <w:left w:val="single" w:sz="8" w:space="0" w:color="auto"/>
              <w:bottom w:val="single" w:sz="4" w:space="0" w:color="auto"/>
              <w:right w:val="single" w:sz="8" w:space="0" w:color="auto"/>
            </w:tcBorders>
            <w:shd w:val="clear" w:color="000000" w:fill="FFFFFF"/>
            <w:vAlign w:val="bottom"/>
            <w:hideMark/>
          </w:tcPr>
          <w:p w:rsidR="002A0A46" w:rsidRPr="009958B1" w:rsidRDefault="002A0A46" w:rsidP="00F3402A">
            <w:pPr>
              <w:rPr>
                <w:rFonts w:cstheme="minorHAnsi"/>
                <w:b/>
                <w:bCs/>
                <w:color w:val="000000"/>
              </w:rPr>
            </w:pPr>
            <w:r w:rsidRPr="009958B1">
              <w:rPr>
                <w:rFonts w:cstheme="minorHAnsi"/>
                <w:b/>
                <w:bCs/>
                <w:color w:val="000000"/>
              </w:rPr>
              <w:t>1.4 Protocolos de Producción Higiénica</w:t>
            </w:r>
          </w:p>
        </w:tc>
      </w:tr>
      <w:tr w:rsidR="002A0A46" w:rsidRPr="00F13F22" w:rsidTr="00F3402A">
        <w:trPr>
          <w:trHeight w:val="290"/>
        </w:trPr>
        <w:tc>
          <w:tcPr>
            <w:tcW w:w="5000" w:type="pct"/>
            <w:tcBorders>
              <w:top w:val="nil"/>
              <w:left w:val="single" w:sz="8" w:space="0" w:color="auto"/>
              <w:bottom w:val="single" w:sz="4" w:space="0" w:color="auto"/>
              <w:right w:val="single" w:sz="8" w:space="0" w:color="auto"/>
            </w:tcBorders>
            <w:shd w:val="clear" w:color="000000" w:fill="FFFFFF"/>
            <w:vAlign w:val="bottom"/>
            <w:hideMark/>
          </w:tcPr>
          <w:p w:rsidR="002A0A46" w:rsidRPr="009958B1" w:rsidRDefault="002A0A46" w:rsidP="00F3402A">
            <w:pPr>
              <w:rPr>
                <w:rFonts w:cstheme="minorHAnsi"/>
                <w:b/>
                <w:bCs/>
                <w:color w:val="000000"/>
              </w:rPr>
            </w:pPr>
            <w:r w:rsidRPr="009958B1">
              <w:rPr>
                <w:rFonts w:cstheme="minorHAnsi"/>
                <w:b/>
                <w:bCs/>
                <w:color w:val="000000"/>
              </w:rPr>
              <w:t xml:space="preserve">1.5 Componente ambiental </w:t>
            </w:r>
          </w:p>
        </w:tc>
      </w:tr>
      <w:tr w:rsidR="002A0A46" w:rsidRPr="00F13F22" w:rsidTr="00F3402A">
        <w:trPr>
          <w:trHeight w:val="290"/>
        </w:trPr>
        <w:tc>
          <w:tcPr>
            <w:tcW w:w="5000" w:type="pct"/>
            <w:tcBorders>
              <w:top w:val="nil"/>
              <w:left w:val="single" w:sz="8" w:space="0" w:color="auto"/>
              <w:bottom w:val="single" w:sz="4" w:space="0" w:color="auto"/>
              <w:right w:val="single" w:sz="8" w:space="0" w:color="auto"/>
            </w:tcBorders>
            <w:shd w:val="clear" w:color="auto" w:fill="auto"/>
            <w:noWrap/>
            <w:vAlign w:val="bottom"/>
            <w:hideMark/>
          </w:tcPr>
          <w:p w:rsidR="002A0A46" w:rsidRPr="009958B1" w:rsidRDefault="002A0A46" w:rsidP="00F3402A">
            <w:pPr>
              <w:rPr>
                <w:rFonts w:cstheme="minorHAnsi"/>
                <w:color w:val="000000"/>
              </w:rPr>
            </w:pPr>
            <w:r w:rsidRPr="009958B1">
              <w:rPr>
                <w:rFonts w:cstheme="minorHAnsi"/>
                <w:color w:val="000000"/>
              </w:rPr>
              <w:t>1.5.1 Plan de manejo ambiental</w:t>
            </w:r>
          </w:p>
        </w:tc>
      </w:tr>
      <w:tr w:rsidR="002A0A46" w:rsidRPr="00F13F22" w:rsidTr="00F3402A">
        <w:trPr>
          <w:trHeight w:val="290"/>
        </w:trPr>
        <w:tc>
          <w:tcPr>
            <w:tcW w:w="5000" w:type="pct"/>
            <w:tcBorders>
              <w:top w:val="nil"/>
              <w:left w:val="single" w:sz="8" w:space="0" w:color="auto"/>
              <w:bottom w:val="single" w:sz="4" w:space="0" w:color="auto"/>
              <w:right w:val="single" w:sz="8" w:space="0" w:color="auto"/>
            </w:tcBorders>
            <w:shd w:val="clear" w:color="auto" w:fill="auto"/>
            <w:noWrap/>
            <w:vAlign w:val="bottom"/>
            <w:hideMark/>
          </w:tcPr>
          <w:p w:rsidR="002A0A46" w:rsidRPr="009958B1" w:rsidRDefault="002A0A46" w:rsidP="00F3402A">
            <w:pPr>
              <w:rPr>
                <w:rFonts w:cstheme="minorHAnsi"/>
                <w:color w:val="000000"/>
              </w:rPr>
            </w:pPr>
            <w:r w:rsidRPr="009958B1">
              <w:rPr>
                <w:rFonts w:cstheme="minorHAnsi"/>
                <w:color w:val="000000"/>
              </w:rPr>
              <w:t>1.5.2 Programa de gestión ambiental</w:t>
            </w:r>
          </w:p>
        </w:tc>
      </w:tr>
      <w:tr w:rsidR="002A0A46" w:rsidRPr="00F13F22" w:rsidTr="00F3402A">
        <w:trPr>
          <w:trHeight w:val="290"/>
        </w:trPr>
        <w:tc>
          <w:tcPr>
            <w:tcW w:w="5000" w:type="pct"/>
            <w:tcBorders>
              <w:top w:val="nil"/>
              <w:left w:val="single" w:sz="8" w:space="0" w:color="auto"/>
              <w:bottom w:val="single" w:sz="4" w:space="0" w:color="auto"/>
              <w:right w:val="single" w:sz="8" w:space="0" w:color="auto"/>
            </w:tcBorders>
            <w:shd w:val="clear" w:color="auto" w:fill="auto"/>
            <w:noWrap/>
            <w:vAlign w:val="bottom"/>
          </w:tcPr>
          <w:p w:rsidR="002A0A46" w:rsidRPr="009958B1" w:rsidRDefault="002A0A46" w:rsidP="00F3402A">
            <w:pPr>
              <w:rPr>
                <w:rFonts w:cstheme="minorHAnsi"/>
                <w:color w:val="000000"/>
              </w:rPr>
            </w:pPr>
            <w:r w:rsidRPr="009958B1">
              <w:rPr>
                <w:rFonts w:cstheme="minorHAnsi"/>
                <w:color w:val="000000"/>
              </w:rPr>
              <w:t>1.5.3 Cumplimiento normativo</w:t>
            </w:r>
          </w:p>
        </w:tc>
      </w:tr>
      <w:tr w:rsidR="002A0A46" w:rsidRPr="00F13F22" w:rsidTr="00F3402A">
        <w:trPr>
          <w:trHeight w:val="290"/>
        </w:trPr>
        <w:tc>
          <w:tcPr>
            <w:tcW w:w="5000" w:type="pct"/>
            <w:tcBorders>
              <w:top w:val="nil"/>
              <w:left w:val="single" w:sz="8" w:space="0" w:color="auto"/>
              <w:bottom w:val="single" w:sz="4" w:space="0" w:color="auto"/>
              <w:right w:val="single" w:sz="8" w:space="0" w:color="auto"/>
            </w:tcBorders>
            <w:shd w:val="clear" w:color="auto" w:fill="auto"/>
            <w:noWrap/>
            <w:vAlign w:val="bottom"/>
          </w:tcPr>
          <w:p w:rsidR="002A0A46" w:rsidRPr="009958B1" w:rsidRDefault="002A0A46" w:rsidP="00F3402A">
            <w:pPr>
              <w:rPr>
                <w:rFonts w:cstheme="minorHAnsi"/>
                <w:color w:val="000000"/>
              </w:rPr>
            </w:pPr>
            <w:r w:rsidRPr="009958B1">
              <w:rPr>
                <w:rFonts w:cstheme="minorHAnsi"/>
                <w:color w:val="000000"/>
              </w:rPr>
              <w:t>1.5.4 Programa de Gestión ambiental empresarial</w:t>
            </w:r>
          </w:p>
        </w:tc>
      </w:tr>
      <w:tr w:rsidR="002A0A46" w:rsidRPr="00F13F22" w:rsidTr="00F3402A">
        <w:trPr>
          <w:trHeight w:val="290"/>
        </w:trPr>
        <w:tc>
          <w:tcPr>
            <w:tcW w:w="5000" w:type="pct"/>
            <w:tcBorders>
              <w:top w:val="nil"/>
              <w:left w:val="single" w:sz="8" w:space="0" w:color="auto"/>
              <w:bottom w:val="single" w:sz="4" w:space="0" w:color="auto"/>
              <w:right w:val="single" w:sz="8" w:space="0" w:color="auto"/>
            </w:tcBorders>
            <w:shd w:val="clear" w:color="auto" w:fill="auto"/>
            <w:noWrap/>
            <w:vAlign w:val="bottom"/>
            <w:hideMark/>
          </w:tcPr>
          <w:p w:rsidR="002A0A46" w:rsidRPr="009958B1" w:rsidRDefault="002A0A46" w:rsidP="00F3402A">
            <w:pPr>
              <w:rPr>
                <w:rFonts w:cstheme="minorHAnsi"/>
                <w:color w:val="000000"/>
              </w:rPr>
            </w:pPr>
            <w:r w:rsidRPr="009958B1">
              <w:rPr>
                <w:rFonts w:cstheme="minorHAnsi"/>
                <w:color w:val="000000"/>
              </w:rPr>
              <w:t>1.5.5 Prevención de perdida de desperdicio de alimentos</w:t>
            </w:r>
          </w:p>
        </w:tc>
      </w:tr>
      <w:tr w:rsidR="002A0A46" w:rsidRPr="00F13F22" w:rsidTr="00F3402A">
        <w:trPr>
          <w:trHeight w:val="290"/>
        </w:trPr>
        <w:tc>
          <w:tcPr>
            <w:tcW w:w="5000" w:type="pct"/>
            <w:tcBorders>
              <w:top w:val="nil"/>
              <w:left w:val="single" w:sz="8" w:space="0" w:color="auto"/>
              <w:bottom w:val="single" w:sz="4" w:space="0" w:color="auto"/>
              <w:right w:val="single" w:sz="8" w:space="0" w:color="auto"/>
            </w:tcBorders>
            <w:shd w:val="clear" w:color="000000" w:fill="FFFFFF"/>
            <w:vAlign w:val="bottom"/>
            <w:hideMark/>
          </w:tcPr>
          <w:p w:rsidR="002A0A46" w:rsidRPr="009958B1" w:rsidRDefault="002A0A46" w:rsidP="00F3402A">
            <w:pPr>
              <w:rPr>
                <w:rFonts w:cstheme="minorHAnsi"/>
                <w:b/>
                <w:bCs/>
                <w:color w:val="000000"/>
              </w:rPr>
            </w:pPr>
            <w:r w:rsidRPr="009958B1">
              <w:rPr>
                <w:rFonts w:cstheme="minorHAnsi"/>
                <w:b/>
                <w:bCs/>
                <w:color w:val="000000"/>
              </w:rPr>
              <w:t xml:space="preserve">1.6 Talento humano </w:t>
            </w:r>
          </w:p>
        </w:tc>
      </w:tr>
      <w:tr w:rsidR="002A0A46" w:rsidRPr="00F13F22" w:rsidTr="00F3402A">
        <w:trPr>
          <w:trHeight w:val="290"/>
        </w:trPr>
        <w:tc>
          <w:tcPr>
            <w:tcW w:w="5000" w:type="pct"/>
            <w:tcBorders>
              <w:top w:val="nil"/>
              <w:left w:val="single" w:sz="8" w:space="0" w:color="auto"/>
              <w:bottom w:val="single" w:sz="4" w:space="0" w:color="auto"/>
              <w:right w:val="single" w:sz="8" w:space="0" w:color="auto"/>
            </w:tcBorders>
            <w:shd w:val="clear" w:color="auto" w:fill="auto"/>
            <w:vAlign w:val="bottom"/>
            <w:hideMark/>
          </w:tcPr>
          <w:p w:rsidR="002A0A46" w:rsidRPr="009958B1" w:rsidRDefault="002A0A46" w:rsidP="00F3402A">
            <w:pPr>
              <w:rPr>
                <w:rFonts w:cstheme="minorHAnsi"/>
                <w:color w:val="000000"/>
              </w:rPr>
            </w:pPr>
            <w:r w:rsidRPr="009958B1">
              <w:rPr>
                <w:rFonts w:cstheme="minorHAnsi"/>
                <w:color w:val="000000"/>
              </w:rPr>
              <w:t>1.6.1 Coordinador general</w:t>
            </w:r>
          </w:p>
        </w:tc>
      </w:tr>
      <w:tr w:rsidR="002A0A46" w:rsidRPr="00F13F22" w:rsidTr="00F3402A">
        <w:trPr>
          <w:trHeight w:val="290"/>
        </w:trPr>
        <w:tc>
          <w:tcPr>
            <w:tcW w:w="5000" w:type="pct"/>
            <w:tcBorders>
              <w:top w:val="nil"/>
              <w:left w:val="single" w:sz="8" w:space="0" w:color="auto"/>
              <w:bottom w:val="single" w:sz="4" w:space="0" w:color="auto"/>
              <w:right w:val="single" w:sz="8" w:space="0" w:color="auto"/>
            </w:tcBorders>
            <w:shd w:val="clear" w:color="auto" w:fill="auto"/>
            <w:vAlign w:val="bottom"/>
          </w:tcPr>
          <w:p w:rsidR="002A0A46" w:rsidRPr="009958B1" w:rsidRDefault="002A0A46" w:rsidP="00F3402A">
            <w:pPr>
              <w:rPr>
                <w:rFonts w:cstheme="minorHAnsi"/>
                <w:color w:val="000000"/>
              </w:rPr>
            </w:pPr>
            <w:r w:rsidRPr="009958B1">
              <w:rPr>
                <w:rFonts w:cstheme="minorHAnsi"/>
                <w:color w:val="000000"/>
              </w:rPr>
              <w:t>1.6.2 Supervisor operativo</w:t>
            </w:r>
          </w:p>
        </w:tc>
      </w:tr>
      <w:tr w:rsidR="002A0A46" w:rsidRPr="00F13F22" w:rsidTr="00F3402A">
        <w:trPr>
          <w:trHeight w:val="290"/>
        </w:trPr>
        <w:tc>
          <w:tcPr>
            <w:tcW w:w="5000" w:type="pct"/>
            <w:tcBorders>
              <w:top w:val="nil"/>
              <w:left w:val="single" w:sz="8" w:space="0" w:color="auto"/>
              <w:bottom w:val="single" w:sz="4" w:space="0" w:color="auto"/>
              <w:right w:val="single" w:sz="8" w:space="0" w:color="auto"/>
            </w:tcBorders>
            <w:shd w:val="clear" w:color="auto" w:fill="auto"/>
            <w:vAlign w:val="bottom"/>
          </w:tcPr>
          <w:p w:rsidR="002A0A46" w:rsidRPr="009958B1" w:rsidRDefault="002A0A46" w:rsidP="00F3402A">
            <w:pPr>
              <w:rPr>
                <w:rFonts w:cstheme="minorHAnsi"/>
                <w:color w:val="000000"/>
              </w:rPr>
            </w:pPr>
            <w:r w:rsidRPr="009958B1">
              <w:rPr>
                <w:rFonts w:cstheme="minorHAnsi"/>
                <w:color w:val="000000"/>
              </w:rPr>
              <w:t>1.6.3 Líder administrativo y de cocina</w:t>
            </w:r>
          </w:p>
        </w:tc>
      </w:tr>
      <w:tr w:rsidR="002A0A46" w:rsidRPr="00F13F22" w:rsidTr="00F3402A">
        <w:trPr>
          <w:trHeight w:val="290"/>
        </w:trPr>
        <w:tc>
          <w:tcPr>
            <w:tcW w:w="5000" w:type="pct"/>
            <w:tcBorders>
              <w:top w:val="nil"/>
              <w:left w:val="single" w:sz="8" w:space="0" w:color="auto"/>
              <w:bottom w:val="single" w:sz="4" w:space="0" w:color="auto"/>
              <w:right w:val="single" w:sz="8" w:space="0" w:color="auto"/>
            </w:tcBorders>
            <w:shd w:val="clear" w:color="auto" w:fill="auto"/>
            <w:vAlign w:val="bottom"/>
            <w:hideMark/>
          </w:tcPr>
          <w:p w:rsidR="002A0A46" w:rsidRPr="009958B1" w:rsidRDefault="002A0A46" w:rsidP="00F3402A">
            <w:pPr>
              <w:rPr>
                <w:rFonts w:cstheme="minorHAnsi"/>
                <w:color w:val="000000"/>
              </w:rPr>
            </w:pPr>
            <w:r w:rsidRPr="009958B1">
              <w:rPr>
                <w:rFonts w:cstheme="minorHAnsi"/>
                <w:color w:val="000000"/>
              </w:rPr>
              <w:t>1.6.4 Manipulador de Alimentos</w:t>
            </w:r>
          </w:p>
        </w:tc>
      </w:tr>
      <w:tr w:rsidR="002A0A46" w:rsidRPr="00F13F22" w:rsidTr="00F3402A">
        <w:trPr>
          <w:trHeight w:val="290"/>
        </w:trPr>
        <w:tc>
          <w:tcPr>
            <w:tcW w:w="5000" w:type="pct"/>
            <w:tcBorders>
              <w:top w:val="nil"/>
              <w:left w:val="single" w:sz="8" w:space="0" w:color="auto"/>
              <w:bottom w:val="single" w:sz="4" w:space="0" w:color="auto"/>
              <w:right w:val="single" w:sz="8" w:space="0" w:color="auto"/>
            </w:tcBorders>
            <w:shd w:val="clear" w:color="auto" w:fill="auto"/>
            <w:vAlign w:val="bottom"/>
            <w:hideMark/>
          </w:tcPr>
          <w:p w:rsidR="002A0A46" w:rsidRPr="009958B1" w:rsidRDefault="002A0A46" w:rsidP="00F3402A">
            <w:pPr>
              <w:rPr>
                <w:rFonts w:cstheme="minorHAnsi"/>
                <w:color w:val="000000"/>
              </w:rPr>
            </w:pPr>
            <w:r w:rsidRPr="009958B1">
              <w:rPr>
                <w:rFonts w:cstheme="minorHAnsi"/>
                <w:color w:val="000000"/>
              </w:rPr>
              <w:t xml:space="preserve">1.6.5 Sistema general de seguridad y salud en el trabajo (SGSST). </w:t>
            </w:r>
          </w:p>
        </w:tc>
      </w:tr>
      <w:tr w:rsidR="002A0A46" w:rsidRPr="00F13F22" w:rsidTr="00F3402A">
        <w:trPr>
          <w:trHeight w:val="290"/>
        </w:trPr>
        <w:tc>
          <w:tcPr>
            <w:tcW w:w="5000" w:type="pct"/>
            <w:tcBorders>
              <w:top w:val="nil"/>
              <w:left w:val="single" w:sz="8" w:space="0" w:color="auto"/>
              <w:bottom w:val="single" w:sz="4" w:space="0" w:color="auto"/>
              <w:right w:val="single" w:sz="8" w:space="0" w:color="auto"/>
            </w:tcBorders>
            <w:shd w:val="clear" w:color="auto" w:fill="auto"/>
            <w:vAlign w:val="bottom"/>
          </w:tcPr>
          <w:p w:rsidR="002A0A46" w:rsidRPr="009958B1" w:rsidRDefault="002A0A46" w:rsidP="00F3402A">
            <w:pPr>
              <w:rPr>
                <w:rFonts w:cstheme="minorHAnsi"/>
                <w:color w:val="000000"/>
              </w:rPr>
            </w:pPr>
            <w:r w:rsidRPr="009958B1">
              <w:rPr>
                <w:rFonts w:cstheme="minorHAnsi"/>
                <w:color w:val="000000"/>
              </w:rPr>
              <w:t>1.6.6 Plan de capacitación para el talento humano</w:t>
            </w:r>
          </w:p>
        </w:tc>
      </w:tr>
      <w:tr w:rsidR="002A0A46" w:rsidRPr="00F13F22" w:rsidTr="00F3402A">
        <w:trPr>
          <w:trHeight w:val="290"/>
        </w:trPr>
        <w:tc>
          <w:tcPr>
            <w:tcW w:w="5000" w:type="pct"/>
            <w:tcBorders>
              <w:top w:val="nil"/>
              <w:left w:val="single" w:sz="8" w:space="0" w:color="auto"/>
              <w:bottom w:val="single" w:sz="4" w:space="0" w:color="auto"/>
              <w:right w:val="single" w:sz="8" w:space="0" w:color="auto"/>
            </w:tcBorders>
            <w:shd w:val="clear" w:color="000000" w:fill="FFFFFF"/>
            <w:noWrap/>
            <w:vAlign w:val="bottom"/>
            <w:hideMark/>
          </w:tcPr>
          <w:p w:rsidR="002A0A46" w:rsidRPr="009958B1" w:rsidRDefault="002A0A46" w:rsidP="00F3402A">
            <w:pPr>
              <w:rPr>
                <w:rFonts w:cstheme="minorHAnsi"/>
                <w:b/>
                <w:bCs/>
                <w:color w:val="000000"/>
              </w:rPr>
            </w:pPr>
            <w:r w:rsidRPr="009958B1">
              <w:rPr>
                <w:rFonts w:cstheme="minorHAnsi"/>
                <w:b/>
                <w:bCs/>
                <w:color w:val="000000"/>
              </w:rPr>
              <w:t>1.7 Selección de Proveedores de Insumos para la Producción</w:t>
            </w:r>
          </w:p>
        </w:tc>
      </w:tr>
      <w:tr w:rsidR="002A0A46" w:rsidRPr="00F13F22" w:rsidTr="00F3402A">
        <w:trPr>
          <w:trHeight w:val="290"/>
        </w:trPr>
        <w:tc>
          <w:tcPr>
            <w:tcW w:w="5000" w:type="pct"/>
            <w:tcBorders>
              <w:top w:val="nil"/>
              <w:left w:val="single" w:sz="8" w:space="0" w:color="auto"/>
              <w:bottom w:val="single" w:sz="4" w:space="0" w:color="auto"/>
              <w:right w:val="single" w:sz="8" w:space="0" w:color="auto"/>
            </w:tcBorders>
            <w:shd w:val="clear" w:color="auto" w:fill="auto"/>
            <w:vAlign w:val="bottom"/>
            <w:hideMark/>
          </w:tcPr>
          <w:p w:rsidR="002A0A46" w:rsidRPr="009958B1" w:rsidRDefault="002A0A46" w:rsidP="00F3402A">
            <w:pPr>
              <w:rPr>
                <w:rFonts w:cstheme="minorHAnsi"/>
                <w:color w:val="000000"/>
              </w:rPr>
            </w:pPr>
            <w:r w:rsidRPr="009958B1">
              <w:rPr>
                <w:rFonts w:cstheme="minorHAnsi"/>
                <w:color w:val="000000"/>
              </w:rPr>
              <w:t>1.7. 1 condición para la Selección de Proveedores de Materia Prima (Normatividad)</w:t>
            </w:r>
          </w:p>
        </w:tc>
      </w:tr>
      <w:tr w:rsidR="002A0A46" w:rsidRPr="00F13F22" w:rsidTr="00F3402A">
        <w:trPr>
          <w:trHeight w:val="320"/>
        </w:trPr>
        <w:tc>
          <w:tcPr>
            <w:tcW w:w="5000" w:type="pct"/>
            <w:tcBorders>
              <w:top w:val="nil"/>
              <w:left w:val="single" w:sz="8" w:space="0" w:color="auto"/>
              <w:bottom w:val="single" w:sz="4" w:space="0" w:color="auto"/>
              <w:right w:val="single" w:sz="8" w:space="0" w:color="auto"/>
            </w:tcBorders>
            <w:shd w:val="clear" w:color="auto" w:fill="auto"/>
            <w:vAlign w:val="bottom"/>
            <w:hideMark/>
          </w:tcPr>
          <w:p w:rsidR="002A0A46" w:rsidRPr="009958B1" w:rsidRDefault="002A0A46" w:rsidP="00F3402A">
            <w:pPr>
              <w:rPr>
                <w:rFonts w:cstheme="minorHAnsi"/>
                <w:color w:val="000000"/>
              </w:rPr>
            </w:pPr>
            <w:r w:rsidRPr="009958B1">
              <w:rPr>
                <w:rFonts w:cstheme="minorHAnsi"/>
                <w:color w:val="000000"/>
              </w:rPr>
              <w:t>1.7.2 Condición para la Selección de Proveedores de Materia Prima (Priorizando pequeños productores)</w:t>
            </w:r>
          </w:p>
        </w:tc>
      </w:tr>
      <w:tr w:rsidR="002A0A46" w:rsidRPr="00F13F22" w:rsidTr="00F3402A">
        <w:trPr>
          <w:trHeight w:val="282"/>
        </w:trPr>
        <w:tc>
          <w:tcPr>
            <w:tcW w:w="5000" w:type="pct"/>
            <w:tcBorders>
              <w:top w:val="nil"/>
              <w:left w:val="single" w:sz="8" w:space="0" w:color="auto"/>
              <w:bottom w:val="single" w:sz="4" w:space="0" w:color="auto"/>
              <w:right w:val="single" w:sz="8" w:space="0" w:color="auto"/>
            </w:tcBorders>
            <w:shd w:val="clear" w:color="auto" w:fill="auto"/>
            <w:vAlign w:val="bottom"/>
            <w:hideMark/>
          </w:tcPr>
          <w:p w:rsidR="002A0A46" w:rsidRPr="009958B1" w:rsidRDefault="002A0A46" w:rsidP="00F3402A">
            <w:pPr>
              <w:rPr>
                <w:rFonts w:cstheme="minorHAnsi"/>
                <w:color w:val="000000"/>
              </w:rPr>
            </w:pPr>
            <w:r w:rsidRPr="009958B1">
              <w:rPr>
                <w:rFonts w:cstheme="minorHAnsi"/>
                <w:color w:val="000000"/>
              </w:rPr>
              <w:t>1.7.3 Condición para la Selección de Proveedores de Materia Prima (Capacidad de la entrega del proveedor)</w:t>
            </w:r>
          </w:p>
        </w:tc>
      </w:tr>
      <w:tr w:rsidR="002A0A46" w:rsidRPr="00F13F22" w:rsidTr="00F3402A">
        <w:trPr>
          <w:trHeight w:val="308"/>
        </w:trPr>
        <w:tc>
          <w:tcPr>
            <w:tcW w:w="5000" w:type="pct"/>
            <w:tcBorders>
              <w:top w:val="nil"/>
              <w:left w:val="single" w:sz="8" w:space="0" w:color="auto"/>
              <w:bottom w:val="single" w:sz="4" w:space="0" w:color="auto"/>
              <w:right w:val="single" w:sz="8" w:space="0" w:color="auto"/>
            </w:tcBorders>
            <w:shd w:val="clear" w:color="auto" w:fill="auto"/>
            <w:vAlign w:val="bottom"/>
            <w:hideMark/>
          </w:tcPr>
          <w:p w:rsidR="002A0A46" w:rsidRPr="009958B1" w:rsidRDefault="002A0A46" w:rsidP="00F3402A">
            <w:pPr>
              <w:rPr>
                <w:rFonts w:cstheme="minorHAnsi"/>
                <w:color w:val="000000"/>
              </w:rPr>
            </w:pPr>
            <w:r w:rsidRPr="009958B1">
              <w:rPr>
                <w:rFonts w:cstheme="minorHAnsi"/>
                <w:color w:val="000000"/>
              </w:rPr>
              <w:t>1.7.4 Condición para la Selección de Proveedores de Materia Prima (según tipo de alimento)</w:t>
            </w:r>
          </w:p>
        </w:tc>
      </w:tr>
      <w:tr w:rsidR="002A0A46" w:rsidRPr="00F13F22" w:rsidTr="00F3402A">
        <w:trPr>
          <w:trHeight w:val="290"/>
        </w:trPr>
        <w:tc>
          <w:tcPr>
            <w:tcW w:w="5000" w:type="pct"/>
            <w:tcBorders>
              <w:top w:val="nil"/>
              <w:left w:val="single" w:sz="8" w:space="0" w:color="auto"/>
              <w:bottom w:val="single" w:sz="4" w:space="0" w:color="auto"/>
              <w:right w:val="single" w:sz="8" w:space="0" w:color="auto"/>
            </w:tcBorders>
            <w:shd w:val="clear" w:color="auto" w:fill="auto"/>
            <w:vAlign w:val="bottom"/>
            <w:hideMark/>
          </w:tcPr>
          <w:p w:rsidR="002A0A46" w:rsidRPr="009958B1" w:rsidRDefault="002A0A46" w:rsidP="00F3402A">
            <w:pPr>
              <w:rPr>
                <w:rFonts w:cstheme="minorHAnsi"/>
                <w:color w:val="000000"/>
              </w:rPr>
            </w:pPr>
            <w:r w:rsidRPr="009958B1">
              <w:rPr>
                <w:rFonts w:cstheme="minorHAnsi"/>
                <w:color w:val="000000"/>
              </w:rPr>
              <w:t>1.7.5 Criterio de aprobación</w:t>
            </w:r>
          </w:p>
        </w:tc>
      </w:tr>
      <w:tr w:rsidR="002A0A46" w:rsidRPr="00F13F22" w:rsidTr="00F3402A">
        <w:trPr>
          <w:trHeight w:val="290"/>
        </w:trPr>
        <w:tc>
          <w:tcPr>
            <w:tcW w:w="5000" w:type="pct"/>
            <w:tcBorders>
              <w:top w:val="nil"/>
              <w:left w:val="single" w:sz="8" w:space="0" w:color="auto"/>
              <w:bottom w:val="single" w:sz="4" w:space="0" w:color="auto"/>
              <w:right w:val="single" w:sz="8" w:space="0" w:color="auto"/>
            </w:tcBorders>
            <w:shd w:val="clear" w:color="000000" w:fill="FFFFFF"/>
            <w:vAlign w:val="bottom"/>
            <w:hideMark/>
          </w:tcPr>
          <w:p w:rsidR="002A0A46" w:rsidRPr="009958B1" w:rsidRDefault="002A0A46" w:rsidP="00F3402A">
            <w:pPr>
              <w:rPr>
                <w:rFonts w:cstheme="minorHAnsi"/>
                <w:b/>
                <w:bCs/>
                <w:color w:val="000000"/>
              </w:rPr>
            </w:pPr>
            <w:r w:rsidRPr="009958B1">
              <w:rPr>
                <w:rFonts w:cstheme="minorHAnsi"/>
                <w:b/>
                <w:bCs/>
                <w:color w:val="000000"/>
              </w:rPr>
              <w:t>1.8 Plan De Movilización-Transporte y Entrega</w:t>
            </w:r>
          </w:p>
        </w:tc>
      </w:tr>
      <w:tr w:rsidR="002A0A46" w:rsidRPr="00F13F22" w:rsidTr="00F3402A">
        <w:trPr>
          <w:trHeight w:val="300"/>
        </w:trPr>
        <w:tc>
          <w:tcPr>
            <w:tcW w:w="5000" w:type="pct"/>
            <w:tcBorders>
              <w:top w:val="nil"/>
              <w:left w:val="single" w:sz="8" w:space="0" w:color="auto"/>
              <w:bottom w:val="nil"/>
              <w:right w:val="single" w:sz="8" w:space="0" w:color="auto"/>
            </w:tcBorders>
            <w:shd w:val="clear" w:color="auto" w:fill="auto"/>
            <w:vAlign w:val="bottom"/>
            <w:hideMark/>
          </w:tcPr>
          <w:p w:rsidR="002A0A46" w:rsidRPr="009958B1" w:rsidRDefault="002A0A46" w:rsidP="00F3402A">
            <w:pPr>
              <w:rPr>
                <w:rFonts w:cstheme="minorHAnsi"/>
                <w:b/>
                <w:bCs/>
                <w:color w:val="000000"/>
              </w:rPr>
            </w:pPr>
            <w:r w:rsidRPr="009958B1">
              <w:rPr>
                <w:rFonts w:cstheme="minorHAnsi"/>
                <w:b/>
                <w:bCs/>
                <w:color w:val="000000"/>
              </w:rPr>
              <w:t xml:space="preserve">1.9 Semana de alistamiento en cada </w:t>
            </w:r>
            <w:r w:rsidR="00DF222A" w:rsidRPr="009958B1">
              <w:rPr>
                <w:rFonts w:cstheme="minorHAnsi"/>
                <w:b/>
                <w:bCs/>
                <w:color w:val="000000"/>
              </w:rPr>
              <w:t>punto de</w:t>
            </w:r>
            <w:r w:rsidRPr="009958B1">
              <w:rPr>
                <w:rFonts w:cstheme="minorHAnsi"/>
                <w:b/>
                <w:bCs/>
                <w:color w:val="000000"/>
              </w:rPr>
              <w:t xml:space="preserve"> atención</w:t>
            </w:r>
          </w:p>
        </w:tc>
      </w:tr>
      <w:tr w:rsidR="002A0A46" w:rsidRPr="00F13F22" w:rsidTr="00F3402A">
        <w:trPr>
          <w:trHeight w:val="320"/>
        </w:trPr>
        <w:tc>
          <w:tcPr>
            <w:tcW w:w="5000" w:type="pct"/>
            <w:tcBorders>
              <w:top w:val="single" w:sz="8" w:space="0" w:color="auto"/>
              <w:left w:val="single" w:sz="8" w:space="0" w:color="auto"/>
              <w:bottom w:val="single" w:sz="8" w:space="0" w:color="auto"/>
              <w:right w:val="single" w:sz="8" w:space="0" w:color="auto"/>
            </w:tcBorders>
            <w:shd w:val="clear" w:color="auto" w:fill="808080" w:themeFill="background1" w:themeFillShade="80"/>
            <w:vAlign w:val="bottom"/>
            <w:hideMark/>
          </w:tcPr>
          <w:p w:rsidR="002A0A46" w:rsidRPr="009958B1" w:rsidRDefault="002A0A46" w:rsidP="00F3402A">
            <w:pPr>
              <w:rPr>
                <w:rFonts w:cstheme="minorHAnsi"/>
                <w:b/>
                <w:bCs/>
                <w:color w:val="FFFFFF"/>
              </w:rPr>
            </w:pPr>
            <w:r w:rsidRPr="009958B1">
              <w:rPr>
                <w:rFonts w:cstheme="minorHAnsi"/>
                <w:b/>
                <w:bCs/>
                <w:color w:val="FFFFFF"/>
              </w:rPr>
              <w:t>FASE II DE EJECUCIÓN</w:t>
            </w:r>
          </w:p>
        </w:tc>
      </w:tr>
      <w:tr w:rsidR="002A0A46" w:rsidRPr="00F13F22" w:rsidTr="00F3402A">
        <w:trPr>
          <w:trHeight w:val="290"/>
        </w:trPr>
        <w:tc>
          <w:tcPr>
            <w:tcW w:w="5000" w:type="pct"/>
            <w:tcBorders>
              <w:top w:val="nil"/>
              <w:left w:val="single" w:sz="8" w:space="0" w:color="auto"/>
              <w:bottom w:val="single" w:sz="4" w:space="0" w:color="auto"/>
              <w:right w:val="single" w:sz="8" w:space="0" w:color="auto"/>
            </w:tcBorders>
            <w:shd w:val="clear" w:color="000000" w:fill="FFFFFF"/>
            <w:noWrap/>
            <w:vAlign w:val="bottom"/>
            <w:hideMark/>
          </w:tcPr>
          <w:p w:rsidR="002A0A46" w:rsidRPr="009958B1" w:rsidRDefault="002A0A46" w:rsidP="00F3402A">
            <w:pPr>
              <w:rPr>
                <w:rFonts w:cstheme="minorHAnsi"/>
                <w:b/>
                <w:bCs/>
                <w:color w:val="000000"/>
              </w:rPr>
            </w:pPr>
            <w:r w:rsidRPr="009958B1">
              <w:rPr>
                <w:rFonts w:cstheme="minorHAnsi"/>
                <w:b/>
                <w:bCs/>
                <w:color w:val="000000"/>
              </w:rPr>
              <w:t>2.1 Compra y Adquisición de Alimentos</w:t>
            </w:r>
          </w:p>
        </w:tc>
      </w:tr>
      <w:tr w:rsidR="002A0A46" w:rsidRPr="00F13F22" w:rsidTr="00F3402A">
        <w:trPr>
          <w:trHeight w:val="290"/>
        </w:trPr>
        <w:tc>
          <w:tcPr>
            <w:tcW w:w="5000" w:type="pct"/>
            <w:tcBorders>
              <w:top w:val="nil"/>
              <w:left w:val="single" w:sz="8" w:space="0" w:color="auto"/>
              <w:bottom w:val="single" w:sz="4" w:space="0" w:color="auto"/>
              <w:right w:val="single" w:sz="8" w:space="0" w:color="auto"/>
            </w:tcBorders>
            <w:shd w:val="clear" w:color="000000" w:fill="FFFFFF"/>
            <w:noWrap/>
            <w:vAlign w:val="bottom"/>
            <w:hideMark/>
          </w:tcPr>
          <w:p w:rsidR="002A0A46" w:rsidRPr="009958B1" w:rsidRDefault="002A0A46" w:rsidP="00F3402A">
            <w:pPr>
              <w:rPr>
                <w:rFonts w:cstheme="minorHAnsi"/>
                <w:color w:val="000000"/>
              </w:rPr>
            </w:pPr>
            <w:r w:rsidRPr="009958B1">
              <w:rPr>
                <w:rFonts w:cstheme="minorHAnsi"/>
                <w:color w:val="000000"/>
              </w:rPr>
              <w:t>2.1.1 Características de los alimentos</w:t>
            </w:r>
          </w:p>
        </w:tc>
      </w:tr>
      <w:tr w:rsidR="002A0A46" w:rsidRPr="00F13F22" w:rsidTr="00F3402A">
        <w:trPr>
          <w:trHeight w:val="290"/>
        </w:trPr>
        <w:tc>
          <w:tcPr>
            <w:tcW w:w="5000" w:type="pct"/>
            <w:tcBorders>
              <w:top w:val="nil"/>
              <w:left w:val="single" w:sz="8" w:space="0" w:color="auto"/>
              <w:bottom w:val="single" w:sz="4" w:space="0" w:color="auto"/>
              <w:right w:val="single" w:sz="8" w:space="0" w:color="auto"/>
            </w:tcBorders>
            <w:shd w:val="clear" w:color="000000" w:fill="FFFFFF"/>
            <w:noWrap/>
            <w:vAlign w:val="bottom"/>
            <w:hideMark/>
          </w:tcPr>
          <w:p w:rsidR="002A0A46" w:rsidRPr="009958B1" w:rsidRDefault="002A0A46" w:rsidP="00F3402A">
            <w:pPr>
              <w:rPr>
                <w:rFonts w:cstheme="minorHAnsi"/>
                <w:color w:val="000000"/>
              </w:rPr>
            </w:pPr>
            <w:r w:rsidRPr="009958B1">
              <w:rPr>
                <w:rFonts w:cstheme="minorHAnsi"/>
                <w:color w:val="000000"/>
              </w:rPr>
              <w:t xml:space="preserve">2.1.2 Calidad de los alimentos </w:t>
            </w:r>
          </w:p>
        </w:tc>
      </w:tr>
      <w:tr w:rsidR="002A0A46" w:rsidRPr="00F13F22" w:rsidTr="00F3402A">
        <w:trPr>
          <w:trHeight w:val="290"/>
        </w:trPr>
        <w:tc>
          <w:tcPr>
            <w:tcW w:w="5000" w:type="pct"/>
            <w:tcBorders>
              <w:top w:val="nil"/>
              <w:left w:val="single" w:sz="8" w:space="0" w:color="auto"/>
              <w:bottom w:val="single" w:sz="4" w:space="0" w:color="auto"/>
              <w:right w:val="single" w:sz="8" w:space="0" w:color="auto"/>
            </w:tcBorders>
            <w:shd w:val="clear" w:color="000000" w:fill="FFFFFF"/>
            <w:noWrap/>
            <w:vAlign w:val="bottom"/>
            <w:hideMark/>
          </w:tcPr>
          <w:p w:rsidR="002A0A46" w:rsidRPr="009958B1" w:rsidRDefault="002A0A46" w:rsidP="00F3402A">
            <w:pPr>
              <w:rPr>
                <w:rFonts w:cstheme="minorHAnsi"/>
                <w:color w:val="000000"/>
              </w:rPr>
            </w:pPr>
            <w:r w:rsidRPr="009958B1">
              <w:rPr>
                <w:rFonts w:cstheme="minorHAnsi"/>
                <w:color w:val="000000"/>
              </w:rPr>
              <w:t>2.1.3 Especificaciones del empaque primario durante la ejecución</w:t>
            </w:r>
          </w:p>
        </w:tc>
      </w:tr>
      <w:tr w:rsidR="002A0A46" w:rsidRPr="00F13F22" w:rsidTr="00F3402A">
        <w:trPr>
          <w:trHeight w:val="290"/>
        </w:trPr>
        <w:tc>
          <w:tcPr>
            <w:tcW w:w="5000" w:type="pct"/>
            <w:tcBorders>
              <w:top w:val="nil"/>
              <w:left w:val="single" w:sz="8" w:space="0" w:color="auto"/>
              <w:bottom w:val="single" w:sz="4" w:space="0" w:color="auto"/>
              <w:right w:val="single" w:sz="8" w:space="0" w:color="auto"/>
            </w:tcBorders>
            <w:shd w:val="clear" w:color="000000" w:fill="FFFFFF"/>
            <w:noWrap/>
            <w:vAlign w:val="bottom"/>
            <w:hideMark/>
          </w:tcPr>
          <w:p w:rsidR="002A0A46" w:rsidRPr="009958B1" w:rsidRDefault="002A0A46" w:rsidP="00F3402A">
            <w:pPr>
              <w:rPr>
                <w:rFonts w:cstheme="minorHAnsi"/>
                <w:color w:val="000000"/>
              </w:rPr>
            </w:pPr>
            <w:r w:rsidRPr="009958B1">
              <w:rPr>
                <w:rFonts w:cstheme="minorHAnsi"/>
                <w:color w:val="000000"/>
              </w:rPr>
              <w:t>2.1.4 Peso y volumen de los alimentos</w:t>
            </w:r>
          </w:p>
        </w:tc>
      </w:tr>
      <w:tr w:rsidR="002A0A46" w:rsidRPr="00F13F22" w:rsidTr="00F3402A">
        <w:trPr>
          <w:trHeight w:val="290"/>
        </w:trPr>
        <w:tc>
          <w:tcPr>
            <w:tcW w:w="5000" w:type="pct"/>
            <w:tcBorders>
              <w:top w:val="nil"/>
              <w:left w:val="single" w:sz="8" w:space="0" w:color="auto"/>
              <w:bottom w:val="single" w:sz="4" w:space="0" w:color="auto"/>
              <w:right w:val="single" w:sz="8" w:space="0" w:color="auto"/>
            </w:tcBorders>
            <w:shd w:val="clear" w:color="000000" w:fill="FFFFFF"/>
            <w:noWrap/>
            <w:vAlign w:val="bottom"/>
            <w:hideMark/>
          </w:tcPr>
          <w:p w:rsidR="002A0A46" w:rsidRPr="009958B1" w:rsidRDefault="002A0A46" w:rsidP="00F3402A">
            <w:pPr>
              <w:rPr>
                <w:rFonts w:cstheme="minorHAnsi"/>
                <w:color w:val="000000"/>
              </w:rPr>
            </w:pPr>
            <w:r w:rsidRPr="009958B1">
              <w:rPr>
                <w:rFonts w:cstheme="minorHAnsi"/>
                <w:color w:val="000000"/>
              </w:rPr>
              <w:t>2.1.5 Cantidad de los alimentos</w:t>
            </w:r>
          </w:p>
        </w:tc>
      </w:tr>
      <w:tr w:rsidR="002A0A46" w:rsidRPr="00F13F22" w:rsidTr="00F3402A">
        <w:trPr>
          <w:trHeight w:val="290"/>
        </w:trPr>
        <w:tc>
          <w:tcPr>
            <w:tcW w:w="5000" w:type="pct"/>
            <w:tcBorders>
              <w:top w:val="nil"/>
              <w:left w:val="single" w:sz="8" w:space="0" w:color="auto"/>
              <w:bottom w:val="single" w:sz="4" w:space="0" w:color="auto"/>
              <w:right w:val="single" w:sz="8" w:space="0" w:color="auto"/>
            </w:tcBorders>
            <w:shd w:val="clear" w:color="auto" w:fill="auto"/>
            <w:vAlign w:val="bottom"/>
            <w:hideMark/>
          </w:tcPr>
          <w:p w:rsidR="002A0A46" w:rsidRPr="009958B1" w:rsidRDefault="002A0A46" w:rsidP="00F3402A">
            <w:pPr>
              <w:rPr>
                <w:rFonts w:cstheme="minorHAnsi"/>
                <w:color w:val="000000"/>
              </w:rPr>
            </w:pPr>
            <w:r w:rsidRPr="009958B1">
              <w:rPr>
                <w:rFonts w:eastAsia="Arial" w:cstheme="minorHAnsi"/>
                <w:color w:val="000000"/>
              </w:rPr>
              <w:t>2.1.5.1 Flexibilidad e intercambio de cantidades de alimentos según tipo de comida</w:t>
            </w:r>
          </w:p>
        </w:tc>
      </w:tr>
      <w:tr w:rsidR="002A0A46" w:rsidRPr="00F13F22" w:rsidTr="00F3402A">
        <w:trPr>
          <w:trHeight w:val="580"/>
        </w:trPr>
        <w:tc>
          <w:tcPr>
            <w:tcW w:w="5000" w:type="pct"/>
            <w:tcBorders>
              <w:top w:val="nil"/>
              <w:left w:val="single" w:sz="8" w:space="0" w:color="auto"/>
              <w:bottom w:val="single" w:sz="4" w:space="0" w:color="auto"/>
              <w:right w:val="single" w:sz="8" w:space="0" w:color="auto"/>
            </w:tcBorders>
            <w:shd w:val="clear" w:color="auto" w:fill="auto"/>
            <w:vAlign w:val="bottom"/>
            <w:hideMark/>
          </w:tcPr>
          <w:p w:rsidR="002A0A46" w:rsidRPr="009958B1" w:rsidRDefault="002A0A46" w:rsidP="00F3402A">
            <w:pPr>
              <w:rPr>
                <w:rFonts w:cstheme="minorHAnsi"/>
                <w:color w:val="000000"/>
              </w:rPr>
            </w:pPr>
            <w:r w:rsidRPr="009958B1">
              <w:rPr>
                <w:rFonts w:eastAsia="Arial" w:cstheme="minorHAnsi"/>
                <w:color w:val="000000"/>
              </w:rPr>
              <w:t>2.1.5.2 Verificación de Asistencia y Optimización de la Preparación de Alimentos en UPIS Modalidad Externado</w:t>
            </w:r>
          </w:p>
        </w:tc>
      </w:tr>
      <w:tr w:rsidR="002A0A46" w:rsidRPr="00F13F22" w:rsidTr="00F3402A">
        <w:trPr>
          <w:trHeight w:val="290"/>
        </w:trPr>
        <w:tc>
          <w:tcPr>
            <w:tcW w:w="5000" w:type="pct"/>
            <w:tcBorders>
              <w:top w:val="nil"/>
              <w:left w:val="single" w:sz="8" w:space="0" w:color="auto"/>
              <w:bottom w:val="single" w:sz="4" w:space="0" w:color="auto"/>
              <w:right w:val="single" w:sz="8" w:space="0" w:color="auto"/>
            </w:tcBorders>
            <w:shd w:val="clear" w:color="000000" w:fill="FFFFFF"/>
            <w:noWrap/>
            <w:vAlign w:val="bottom"/>
            <w:hideMark/>
          </w:tcPr>
          <w:p w:rsidR="002A0A46" w:rsidRPr="009958B1" w:rsidRDefault="002A0A46" w:rsidP="00F3402A">
            <w:pPr>
              <w:rPr>
                <w:rFonts w:cstheme="minorHAnsi"/>
                <w:color w:val="000000"/>
              </w:rPr>
            </w:pPr>
            <w:r w:rsidRPr="009958B1">
              <w:rPr>
                <w:rFonts w:cstheme="minorHAnsi"/>
                <w:color w:val="000000"/>
              </w:rPr>
              <w:t>2.1.6 Vida útil de los alimentos</w:t>
            </w:r>
          </w:p>
        </w:tc>
      </w:tr>
      <w:tr w:rsidR="002A0A46" w:rsidRPr="00F13F22" w:rsidTr="00F3402A">
        <w:trPr>
          <w:trHeight w:val="290"/>
        </w:trPr>
        <w:tc>
          <w:tcPr>
            <w:tcW w:w="5000" w:type="pct"/>
            <w:tcBorders>
              <w:top w:val="nil"/>
              <w:left w:val="single" w:sz="8" w:space="0" w:color="auto"/>
              <w:bottom w:val="single" w:sz="4" w:space="0" w:color="auto"/>
              <w:right w:val="single" w:sz="8" w:space="0" w:color="auto"/>
            </w:tcBorders>
            <w:shd w:val="clear" w:color="000000" w:fill="FFFFFF"/>
            <w:noWrap/>
            <w:vAlign w:val="bottom"/>
            <w:hideMark/>
          </w:tcPr>
          <w:p w:rsidR="002A0A46" w:rsidRPr="009958B1" w:rsidRDefault="002A0A46" w:rsidP="00F3402A">
            <w:pPr>
              <w:rPr>
                <w:rFonts w:cstheme="minorHAnsi"/>
                <w:color w:val="000000"/>
              </w:rPr>
            </w:pPr>
            <w:r w:rsidRPr="009958B1">
              <w:rPr>
                <w:rFonts w:cstheme="minorHAnsi"/>
                <w:color w:val="000000"/>
              </w:rPr>
              <w:t>2.1.7 Composición fisicoquímica y bromatología de los alimentos</w:t>
            </w:r>
          </w:p>
        </w:tc>
      </w:tr>
      <w:tr w:rsidR="002A0A46" w:rsidRPr="00F13F22" w:rsidTr="00F3402A">
        <w:trPr>
          <w:trHeight w:val="290"/>
        </w:trPr>
        <w:tc>
          <w:tcPr>
            <w:tcW w:w="5000" w:type="pct"/>
            <w:tcBorders>
              <w:top w:val="nil"/>
              <w:left w:val="single" w:sz="8" w:space="0" w:color="auto"/>
              <w:bottom w:val="single" w:sz="4" w:space="0" w:color="auto"/>
              <w:right w:val="single" w:sz="8" w:space="0" w:color="auto"/>
            </w:tcBorders>
            <w:shd w:val="clear" w:color="000000" w:fill="FFFFFF"/>
            <w:noWrap/>
            <w:vAlign w:val="bottom"/>
            <w:hideMark/>
          </w:tcPr>
          <w:p w:rsidR="002A0A46" w:rsidRPr="009958B1" w:rsidRDefault="002A0A46" w:rsidP="00F3402A">
            <w:pPr>
              <w:rPr>
                <w:rFonts w:cstheme="minorHAnsi"/>
                <w:color w:val="000000"/>
              </w:rPr>
            </w:pPr>
            <w:r w:rsidRPr="009958B1">
              <w:rPr>
                <w:rFonts w:cstheme="minorHAnsi"/>
                <w:color w:val="000000"/>
              </w:rPr>
              <w:t>2.1.8 Registro sanitario, permiso sanitario y notificación sanitaria de cada alimento</w:t>
            </w:r>
          </w:p>
        </w:tc>
      </w:tr>
      <w:tr w:rsidR="002A0A46" w:rsidRPr="00F13F22" w:rsidTr="00F3402A">
        <w:trPr>
          <w:trHeight w:val="290"/>
        </w:trPr>
        <w:tc>
          <w:tcPr>
            <w:tcW w:w="5000" w:type="pct"/>
            <w:tcBorders>
              <w:top w:val="nil"/>
              <w:left w:val="single" w:sz="8" w:space="0" w:color="auto"/>
              <w:bottom w:val="single" w:sz="4" w:space="0" w:color="auto"/>
              <w:right w:val="single" w:sz="8" w:space="0" w:color="auto"/>
            </w:tcBorders>
            <w:shd w:val="clear" w:color="000000" w:fill="FFFFFF"/>
            <w:noWrap/>
            <w:vAlign w:val="bottom"/>
            <w:hideMark/>
          </w:tcPr>
          <w:p w:rsidR="002A0A46" w:rsidRPr="009958B1" w:rsidRDefault="002A0A46" w:rsidP="00F3402A">
            <w:pPr>
              <w:rPr>
                <w:rFonts w:cstheme="minorHAnsi"/>
                <w:b/>
                <w:bCs/>
                <w:color w:val="000000"/>
              </w:rPr>
            </w:pPr>
            <w:r w:rsidRPr="009958B1">
              <w:rPr>
                <w:rFonts w:cstheme="minorHAnsi"/>
                <w:b/>
                <w:bCs/>
                <w:color w:val="000000"/>
              </w:rPr>
              <w:t>2.2 Logística de entrega y Distribución de los alimentos</w:t>
            </w:r>
          </w:p>
        </w:tc>
      </w:tr>
      <w:tr w:rsidR="002A0A46" w:rsidRPr="00F13F22" w:rsidTr="00F3402A">
        <w:trPr>
          <w:trHeight w:val="290"/>
        </w:trPr>
        <w:tc>
          <w:tcPr>
            <w:tcW w:w="5000" w:type="pct"/>
            <w:tcBorders>
              <w:top w:val="nil"/>
              <w:left w:val="single" w:sz="8" w:space="0" w:color="auto"/>
              <w:bottom w:val="single" w:sz="4" w:space="0" w:color="auto"/>
              <w:right w:val="single" w:sz="8" w:space="0" w:color="auto"/>
            </w:tcBorders>
            <w:shd w:val="clear" w:color="000000" w:fill="FFFFFF"/>
            <w:noWrap/>
            <w:vAlign w:val="bottom"/>
            <w:hideMark/>
          </w:tcPr>
          <w:p w:rsidR="002A0A46" w:rsidRPr="009958B1" w:rsidRDefault="002A0A46" w:rsidP="00F3402A">
            <w:pPr>
              <w:rPr>
                <w:rFonts w:cstheme="minorHAnsi"/>
                <w:b/>
                <w:bCs/>
                <w:color w:val="000000"/>
              </w:rPr>
            </w:pPr>
            <w:r w:rsidRPr="009958B1">
              <w:rPr>
                <w:rFonts w:cstheme="minorHAnsi"/>
                <w:b/>
                <w:bCs/>
                <w:color w:val="000000"/>
              </w:rPr>
              <w:t>2.3 Recepción, Verificación de Calidad y de Fichas Técnicas de los alimentos</w:t>
            </w:r>
          </w:p>
        </w:tc>
      </w:tr>
      <w:tr w:rsidR="002A0A46" w:rsidRPr="00F13F22" w:rsidTr="00F3402A">
        <w:trPr>
          <w:trHeight w:val="290"/>
        </w:trPr>
        <w:tc>
          <w:tcPr>
            <w:tcW w:w="5000" w:type="pct"/>
            <w:tcBorders>
              <w:top w:val="nil"/>
              <w:left w:val="single" w:sz="8" w:space="0" w:color="auto"/>
              <w:bottom w:val="single" w:sz="4" w:space="0" w:color="auto"/>
              <w:right w:val="single" w:sz="8" w:space="0" w:color="auto"/>
            </w:tcBorders>
            <w:shd w:val="clear" w:color="000000" w:fill="FFFFFF"/>
            <w:noWrap/>
            <w:vAlign w:val="bottom"/>
            <w:hideMark/>
          </w:tcPr>
          <w:p w:rsidR="002A0A46" w:rsidRPr="009958B1" w:rsidRDefault="002A0A46" w:rsidP="00F3402A">
            <w:pPr>
              <w:rPr>
                <w:rFonts w:cstheme="minorHAnsi"/>
                <w:b/>
                <w:bCs/>
                <w:color w:val="000000"/>
              </w:rPr>
            </w:pPr>
            <w:r w:rsidRPr="009958B1">
              <w:rPr>
                <w:rFonts w:cstheme="minorHAnsi"/>
                <w:b/>
                <w:bCs/>
                <w:color w:val="000000"/>
              </w:rPr>
              <w:t>2.4 Porcionado y Almacenamiento de los alimentos</w:t>
            </w:r>
          </w:p>
        </w:tc>
      </w:tr>
      <w:tr w:rsidR="002A0A46" w:rsidRPr="00F13F22" w:rsidTr="00F3402A">
        <w:trPr>
          <w:trHeight w:val="290"/>
        </w:trPr>
        <w:tc>
          <w:tcPr>
            <w:tcW w:w="5000" w:type="pct"/>
            <w:tcBorders>
              <w:top w:val="nil"/>
              <w:left w:val="single" w:sz="8" w:space="0" w:color="auto"/>
              <w:bottom w:val="single" w:sz="4" w:space="0" w:color="auto"/>
              <w:right w:val="single" w:sz="8" w:space="0" w:color="auto"/>
            </w:tcBorders>
            <w:shd w:val="clear" w:color="000000" w:fill="FFFFFF"/>
            <w:vAlign w:val="bottom"/>
            <w:hideMark/>
          </w:tcPr>
          <w:p w:rsidR="002A0A46" w:rsidRPr="009958B1" w:rsidRDefault="002A0A46" w:rsidP="00F3402A">
            <w:pPr>
              <w:rPr>
                <w:rFonts w:cstheme="minorHAnsi"/>
                <w:color w:val="000000"/>
              </w:rPr>
            </w:pPr>
            <w:r w:rsidRPr="009958B1">
              <w:rPr>
                <w:rFonts w:cstheme="minorHAnsi"/>
                <w:color w:val="000000"/>
              </w:rPr>
              <w:t>2.4.1 Requisitos de temperatura y humedad para cada tipo de alimento</w:t>
            </w:r>
          </w:p>
        </w:tc>
      </w:tr>
      <w:tr w:rsidR="002A0A46" w:rsidRPr="00F13F22" w:rsidTr="00F3402A">
        <w:trPr>
          <w:trHeight w:val="290"/>
        </w:trPr>
        <w:tc>
          <w:tcPr>
            <w:tcW w:w="5000" w:type="pct"/>
            <w:tcBorders>
              <w:top w:val="nil"/>
              <w:left w:val="single" w:sz="8" w:space="0" w:color="auto"/>
              <w:bottom w:val="single" w:sz="4" w:space="0" w:color="auto"/>
              <w:right w:val="single" w:sz="8" w:space="0" w:color="auto"/>
            </w:tcBorders>
            <w:shd w:val="clear" w:color="000000" w:fill="FFFFFF"/>
            <w:vAlign w:val="bottom"/>
            <w:hideMark/>
          </w:tcPr>
          <w:p w:rsidR="002A0A46" w:rsidRPr="009958B1" w:rsidRDefault="002A0A46" w:rsidP="00F3402A">
            <w:pPr>
              <w:rPr>
                <w:rFonts w:cstheme="minorHAnsi"/>
                <w:color w:val="000000"/>
              </w:rPr>
            </w:pPr>
            <w:r w:rsidRPr="009958B1">
              <w:rPr>
                <w:rFonts w:cstheme="minorHAnsi"/>
                <w:color w:val="000000"/>
              </w:rPr>
              <w:t>2.4.2 Protocolos de control de inventario y rotación de productos (PEPS).</w:t>
            </w:r>
          </w:p>
        </w:tc>
      </w:tr>
      <w:tr w:rsidR="002A0A46" w:rsidRPr="00F13F22" w:rsidTr="00F3402A">
        <w:trPr>
          <w:trHeight w:val="290"/>
        </w:trPr>
        <w:tc>
          <w:tcPr>
            <w:tcW w:w="5000" w:type="pct"/>
            <w:tcBorders>
              <w:top w:val="nil"/>
              <w:left w:val="single" w:sz="8" w:space="0" w:color="auto"/>
              <w:bottom w:val="single" w:sz="4" w:space="0" w:color="auto"/>
              <w:right w:val="single" w:sz="8" w:space="0" w:color="auto"/>
            </w:tcBorders>
            <w:shd w:val="clear" w:color="000000" w:fill="FFFFFF"/>
            <w:noWrap/>
            <w:vAlign w:val="bottom"/>
            <w:hideMark/>
          </w:tcPr>
          <w:p w:rsidR="002A0A46" w:rsidRPr="009958B1" w:rsidRDefault="002A0A46" w:rsidP="00F3402A">
            <w:pPr>
              <w:rPr>
                <w:rFonts w:cstheme="minorHAnsi"/>
                <w:color w:val="000000"/>
              </w:rPr>
            </w:pPr>
            <w:r w:rsidRPr="009958B1">
              <w:rPr>
                <w:rFonts w:cstheme="minorHAnsi"/>
                <w:color w:val="000000"/>
              </w:rPr>
              <w:t xml:space="preserve">2.4.3 Cadena de frío </w:t>
            </w:r>
          </w:p>
        </w:tc>
      </w:tr>
      <w:tr w:rsidR="002A0A46" w:rsidRPr="00F13F22" w:rsidTr="00F3402A">
        <w:trPr>
          <w:trHeight w:val="290"/>
        </w:trPr>
        <w:tc>
          <w:tcPr>
            <w:tcW w:w="5000" w:type="pct"/>
            <w:tcBorders>
              <w:top w:val="nil"/>
              <w:left w:val="single" w:sz="8" w:space="0" w:color="auto"/>
              <w:bottom w:val="single" w:sz="4" w:space="0" w:color="auto"/>
              <w:right w:val="single" w:sz="8" w:space="0" w:color="auto"/>
            </w:tcBorders>
            <w:shd w:val="clear" w:color="000000" w:fill="FFFFFF"/>
            <w:noWrap/>
            <w:vAlign w:val="bottom"/>
            <w:hideMark/>
          </w:tcPr>
          <w:p w:rsidR="002A0A46" w:rsidRPr="009958B1" w:rsidRDefault="002A0A46" w:rsidP="00F3402A">
            <w:pPr>
              <w:rPr>
                <w:rFonts w:cstheme="minorHAnsi"/>
                <w:b/>
                <w:bCs/>
                <w:color w:val="000000"/>
              </w:rPr>
            </w:pPr>
            <w:r w:rsidRPr="009958B1">
              <w:rPr>
                <w:rFonts w:cstheme="minorHAnsi"/>
                <w:b/>
                <w:bCs/>
                <w:color w:val="000000"/>
              </w:rPr>
              <w:t>2.5 Preparación de alimentos</w:t>
            </w:r>
          </w:p>
        </w:tc>
      </w:tr>
      <w:tr w:rsidR="002A0A46" w:rsidRPr="00F13F22" w:rsidTr="00F3402A">
        <w:trPr>
          <w:trHeight w:val="290"/>
        </w:trPr>
        <w:tc>
          <w:tcPr>
            <w:tcW w:w="5000" w:type="pct"/>
            <w:tcBorders>
              <w:top w:val="nil"/>
              <w:left w:val="single" w:sz="8" w:space="0" w:color="auto"/>
              <w:bottom w:val="single" w:sz="4" w:space="0" w:color="auto"/>
              <w:right w:val="single" w:sz="8" w:space="0" w:color="auto"/>
            </w:tcBorders>
            <w:shd w:val="clear" w:color="auto" w:fill="auto"/>
            <w:vAlign w:val="bottom"/>
            <w:hideMark/>
          </w:tcPr>
          <w:p w:rsidR="002A0A46" w:rsidRPr="009958B1" w:rsidRDefault="002A0A46" w:rsidP="00F3402A">
            <w:pPr>
              <w:rPr>
                <w:rFonts w:cstheme="minorHAnsi"/>
                <w:color w:val="000000"/>
              </w:rPr>
            </w:pPr>
            <w:r w:rsidRPr="009958B1">
              <w:rPr>
                <w:rFonts w:cstheme="minorHAnsi"/>
                <w:color w:val="000000"/>
              </w:rPr>
              <w:t xml:space="preserve">2.5.1 Requisitos de higiene y manipulación de alimentos durante la preparación </w:t>
            </w:r>
          </w:p>
        </w:tc>
      </w:tr>
      <w:tr w:rsidR="002A0A46" w:rsidRPr="00F13F22" w:rsidTr="00F3402A">
        <w:trPr>
          <w:trHeight w:val="290"/>
        </w:trPr>
        <w:tc>
          <w:tcPr>
            <w:tcW w:w="5000" w:type="pct"/>
            <w:tcBorders>
              <w:top w:val="nil"/>
              <w:left w:val="single" w:sz="8" w:space="0" w:color="auto"/>
              <w:bottom w:val="single" w:sz="4" w:space="0" w:color="auto"/>
              <w:right w:val="single" w:sz="8" w:space="0" w:color="auto"/>
            </w:tcBorders>
            <w:shd w:val="clear" w:color="auto" w:fill="auto"/>
            <w:vAlign w:val="bottom"/>
            <w:hideMark/>
          </w:tcPr>
          <w:p w:rsidR="002A0A46" w:rsidRPr="009958B1" w:rsidRDefault="002A0A46" w:rsidP="00F3402A">
            <w:pPr>
              <w:rPr>
                <w:rFonts w:cstheme="minorHAnsi"/>
                <w:color w:val="000000"/>
              </w:rPr>
            </w:pPr>
            <w:r w:rsidRPr="009958B1">
              <w:rPr>
                <w:rFonts w:cstheme="minorHAnsi"/>
                <w:color w:val="000000"/>
              </w:rPr>
              <w:t xml:space="preserve">2.5.2 Control de calidad durante la preparación </w:t>
            </w:r>
          </w:p>
        </w:tc>
      </w:tr>
      <w:tr w:rsidR="002A0A46" w:rsidRPr="00F13F22" w:rsidTr="00F3402A">
        <w:trPr>
          <w:trHeight w:val="290"/>
        </w:trPr>
        <w:tc>
          <w:tcPr>
            <w:tcW w:w="5000" w:type="pct"/>
            <w:tcBorders>
              <w:top w:val="nil"/>
              <w:left w:val="single" w:sz="8" w:space="0" w:color="auto"/>
              <w:bottom w:val="single" w:sz="4" w:space="0" w:color="auto"/>
              <w:right w:val="single" w:sz="8" w:space="0" w:color="auto"/>
            </w:tcBorders>
            <w:shd w:val="clear" w:color="auto" w:fill="auto"/>
            <w:vAlign w:val="bottom"/>
            <w:hideMark/>
          </w:tcPr>
          <w:p w:rsidR="002A0A46" w:rsidRPr="009958B1" w:rsidRDefault="002A0A46" w:rsidP="00F3402A">
            <w:pPr>
              <w:rPr>
                <w:rFonts w:cstheme="minorHAnsi"/>
                <w:color w:val="000000"/>
              </w:rPr>
            </w:pPr>
            <w:r w:rsidRPr="009958B1">
              <w:rPr>
                <w:rFonts w:cstheme="minorHAnsi"/>
                <w:color w:val="000000"/>
              </w:rPr>
              <w:t>2.5.3 Control de temperaturas durante la preparación y conservación de los alimentos</w:t>
            </w:r>
          </w:p>
        </w:tc>
      </w:tr>
      <w:tr w:rsidR="002A0A46" w:rsidRPr="00F13F22" w:rsidTr="00F3402A">
        <w:trPr>
          <w:trHeight w:val="290"/>
        </w:trPr>
        <w:tc>
          <w:tcPr>
            <w:tcW w:w="5000" w:type="pct"/>
            <w:tcBorders>
              <w:top w:val="nil"/>
              <w:left w:val="single" w:sz="8" w:space="0" w:color="auto"/>
              <w:bottom w:val="single" w:sz="4" w:space="0" w:color="auto"/>
              <w:right w:val="single" w:sz="8" w:space="0" w:color="auto"/>
            </w:tcBorders>
            <w:shd w:val="clear" w:color="000000" w:fill="FFFFFF"/>
            <w:noWrap/>
            <w:vAlign w:val="bottom"/>
            <w:hideMark/>
          </w:tcPr>
          <w:p w:rsidR="002A0A46" w:rsidRPr="009958B1" w:rsidRDefault="002A0A46" w:rsidP="00F3402A">
            <w:pPr>
              <w:rPr>
                <w:rFonts w:cstheme="minorHAnsi"/>
                <w:color w:val="000000"/>
              </w:rPr>
            </w:pPr>
            <w:r w:rsidRPr="009958B1">
              <w:rPr>
                <w:rFonts w:cstheme="minorHAnsi"/>
                <w:color w:val="000000"/>
              </w:rPr>
              <w:t>2.5.4 Gramajes</w:t>
            </w:r>
          </w:p>
        </w:tc>
      </w:tr>
      <w:tr w:rsidR="002A0A46" w:rsidRPr="00F13F22" w:rsidTr="00F3402A">
        <w:trPr>
          <w:trHeight w:val="290"/>
        </w:trPr>
        <w:tc>
          <w:tcPr>
            <w:tcW w:w="5000" w:type="pct"/>
            <w:tcBorders>
              <w:top w:val="nil"/>
              <w:left w:val="single" w:sz="8" w:space="0" w:color="auto"/>
              <w:bottom w:val="single" w:sz="4" w:space="0" w:color="auto"/>
              <w:right w:val="single" w:sz="8" w:space="0" w:color="auto"/>
            </w:tcBorders>
            <w:shd w:val="clear" w:color="000000" w:fill="FFFFFF"/>
            <w:noWrap/>
            <w:vAlign w:val="bottom"/>
            <w:hideMark/>
          </w:tcPr>
          <w:p w:rsidR="002A0A46" w:rsidRPr="009958B1" w:rsidRDefault="002A0A46" w:rsidP="00F3402A">
            <w:pPr>
              <w:rPr>
                <w:rFonts w:cstheme="minorHAnsi"/>
                <w:b/>
                <w:bCs/>
                <w:color w:val="000000"/>
              </w:rPr>
            </w:pPr>
            <w:r w:rsidRPr="009958B1">
              <w:rPr>
                <w:rFonts w:cstheme="minorHAnsi"/>
                <w:b/>
                <w:bCs/>
                <w:color w:val="000000"/>
              </w:rPr>
              <w:t>2.6 Minutas</w:t>
            </w:r>
          </w:p>
        </w:tc>
      </w:tr>
      <w:tr w:rsidR="002A0A46" w:rsidRPr="00F13F22" w:rsidTr="00F3402A">
        <w:trPr>
          <w:trHeight w:val="290"/>
        </w:trPr>
        <w:tc>
          <w:tcPr>
            <w:tcW w:w="5000" w:type="pct"/>
            <w:tcBorders>
              <w:top w:val="nil"/>
              <w:left w:val="single" w:sz="8" w:space="0" w:color="auto"/>
              <w:bottom w:val="single" w:sz="4" w:space="0" w:color="auto"/>
              <w:right w:val="single" w:sz="8" w:space="0" w:color="auto"/>
            </w:tcBorders>
            <w:shd w:val="clear" w:color="000000" w:fill="FFFFFF"/>
            <w:noWrap/>
            <w:vAlign w:val="bottom"/>
          </w:tcPr>
          <w:p w:rsidR="002A0A46" w:rsidRPr="009958B1" w:rsidRDefault="002A0A46" w:rsidP="00F3402A">
            <w:pPr>
              <w:rPr>
                <w:rFonts w:cstheme="minorHAnsi"/>
                <w:bCs/>
                <w:color w:val="000000"/>
              </w:rPr>
            </w:pPr>
            <w:r w:rsidRPr="009958B1">
              <w:rPr>
                <w:rFonts w:cstheme="minorHAnsi"/>
                <w:color w:val="000000"/>
              </w:rPr>
              <w:t>2.6.1 Aspectos Alimentarios Y Nutricionales</w:t>
            </w:r>
          </w:p>
        </w:tc>
      </w:tr>
      <w:tr w:rsidR="002A0A46" w:rsidRPr="00F13F22" w:rsidTr="00F3402A">
        <w:trPr>
          <w:trHeight w:val="290"/>
        </w:trPr>
        <w:tc>
          <w:tcPr>
            <w:tcW w:w="5000" w:type="pct"/>
            <w:tcBorders>
              <w:top w:val="nil"/>
              <w:left w:val="single" w:sz="8" w:space="0" w:color="auto"/>
              <w:bottom w:val="single" w:sz="4" w:space="0" w:color="auto"/>
              <w:right w:val="single" w:sz="8" w:space="0" w:color="auto"/>
            </w:tcBorders>
            <w:shd w:val="clear" w:color="auto" w:fill="auto"/>
            <w:noWrap/>
            <w:vAlign w:val="bottom"/>
            <w:hideMark/>
          </w:tcPr>
          <w:p w:rsidR="002A0A46" w:rsidRPr="009958B1" w:rsidRDefault="002A0A46" w:rsidP="00F3402A">
            <w:pPr>
              <w:rPr>
                <w:rFonts w:cstheme="minorHAnsi"/>
                <w:color w:val="000000"/>
              </w:rPr>
            </w:pPr>
            <w:r w:rsidRPr="009958B1">
              <w:rPr>
                <w:rFonts w:cstheme="minorHAnsi"/>
                <w:color w:val="000000"/>
              </w:rPr>
              <w:t>2.6.2Flexibilidad y Adaptación a las Necesidades y Variaciones</w:t>
            </w:r>
          </w:p>
        </w:tc>
      </w:tr>
      <w:tr w:rsidR="002A0A46" w:rsidRPr="00F13F22" w:rsidTr="00F3402A">
        <w:trPr>
          <w:trHeight w:val="290"/>
        </w:trPr>
        <w:tc>
          <w:tcPr>
            <w:tcW w:w="5000" w:type="pct"/>
            <w:tcBorders>
              <w:top w:val="nil"/>
              <w:left w:val="single" w:sz="8" w:space="0" w:color="auto"/>
              <w:bottom w:val="single" w:sz="4" w:space="0" w:color="auto"/>
              <w:right w:val="single" w:sz="8" w:space="0" w:color="auto"/>
            </w:tcBorders>
            <w:shd w:val="clear" w:color="auto" w:fill="auto"/>
            <w:noWrap/>
            <w:vAlign w:val="bottom"/>
            <w:hideMark/>
          </w:tcPr>
          <w:p w:rsidR="002A0A46" w:rsidRPr="009958B1" w:rsidRDefault="002A0A46" w:rsidP="00F3402A">
            <w:pPr>
              <w:rPr>
                <w:rFonts w:cstheme="minorHAnsi"/>
                <w:color w:val="000000"/>
              </w:rPr>
            </w:pPr>
            <w:r w:rsidRPr="009958B1">
              <w:rPr>
                <w:rFonts w:cstheme="minorHAnsi"/>
                <w:color w:val="000000"/>
              </w:rPr>
              <w:t>2.6.3 Menús especiales para actividades y conmemoraciones Especiales en el IDIPRON</w:t>
            </w:r>
          </w:p>
        </w:tc>
      </w:tr>
      <w:tr w:rsidR="002A0A46" w:rsidRPr="00F13F22" w:rsidTr="00F3402A">
        <w:trPr>
          <w:trHeight w:val="290"/>
        </w:trPr>
        <w:tc>
          <w:tcPr>
            <w:tcW w:w="5000" w:type="pct"/>
            <w:tcBorders>
              <w:top w:val="nil"/>
              <w:left w:val="single" w:sz="8" w:space="0" w:color="auto"/>
              <w:bottom w:val="single" w:sz="4" w:space="0" w:color="auto"/>
              <w:right w:val="single" w:sz="8" w:space="0" w:color="auto"/>
            </w:tcBorders>
            <w:shd w:val="clear" w:color="000000" w:fill="FFFFFF"/>
            <w:noWrap/>
            <w:vAlign w:val="bottom"/>
            <w:hideMark/>
          </w:tcPr>
          <w:p w:rsidR="002A0A46" w:rsidRPr="009958B1" w:rsidRDefault="002A0A46" w:rsidP="00F3402A">
            <w:pPr>
              <w:rPr>
                <w:rFonts w:cstheme="minorHAnsi"/>
                <w:b/>
                <w:bCs/>
                <w:color w:val="000000"/>
              </w:rPr>
            </w:pPr>
            <w:r w:rsidRPr="009958B1">
              <w:rPr>
                <w:rFonts w:cstheme="minorHAnsi"/>
                <w:b/>
                <w:bCs/>
                <w:color w:val="000000"/>
              </w:rPr>
              <w:t>2.7 Características organolépticas de alimentos</w:t>
            </w:r>
          </w:p>
        </w:tc>
      </w:tr>
      <w:tr w:rsidR="002A0A46" w:rsidRPr="00F13F22" w:rsidTr="00F3402A">
        <w:trPr>
          <w:trHeight w:val="290"/>
        </w:trPr>
        <w:tc>
          <w:tcPr>
            <w:tcW w:w="5000" w:type="pct"/>
            <w:tcBorders>
              <w:top w:val="nil"/>
              <w:left w:val="single" w:sz="8" w:space="0" w:color="auto"/>
              <w:bottom w:val="single" w:sz="4" w:space="0" w:color="auto"/>
              <w:right w:val="single" w:sz="8" w:space="0" w:color="auto"/>
            </w:tcBorders>
            <w:shd w:val="clear" w:color="000000" w:fill="FFFFFF"/>
            <w:noWrap/>
            <w:vAlign w:val="bottom"/>
            <w:hideMark/>
          </w:tcPr>
          <w:p w:rsidR="002A0A46" w:rsidRPr="009958B1" w:rsidRDefault="002A0A46" w:rsidP="00F3402A">
            <w:pPr>
              <w:rPr>
                <w:rFonts w:cstheme="minorHAnsi"/>
                <w:b/>
                <w:bCs/>
                <w:color w:val="000000"/>
              </w:rPr>
            </w:pPr>
            <w:r w:rsidRPr="009958B1">
              <w:rPr>
                <w:rFonts w:cstheme="minorHAnsi"/>
                <w:b/>
                <w:bCs/>
                <w:color w:val="000000"/>
              </w:rPr>
              <w:t>2.8 Servicio de Comidas</w:t>
            </w:r>
          </w:p>
        </w:tc>
      </w:tr>
      <w:tr w:rsidR="002A0A46" w:rsidRPr="00F13F22" w:rsidTr="00F3402A">
        <w:trPr>
          <w:trHeight w:val="290"/>
        </w:trPr>
        <w:tc>
          <w:tcPr>
            <w:tcW w:w="5000" w:type="pct"/>
            <w:tcBorders>
              <w:top w:val="nil"/>
              <w:left w:val="single" w:sz="8" w:space="0" w:color="auto"/>
              <w:bottom w:val="single" w:sz="4" w:space="0" w:color="auto"/>
              <w:right w:val="single" w:sz="8" w:space="0" w:color="auto"/>
            </w:tcBorders>
            <w:shd w:val="clear" w:color="auto" w:fill="auto"/>
            <w:vAlign w:val="bottom"/>
            <w:hideMark/>
          </w:tcPr>
          <w:p w:rsidR="002A0A46" w:rsidRPr="009958B1" w:rsidRDefault="002A0A46" w:rsidP="00F3402A">
            <w:pPr>
              <w:rPr>
                <w:rFonts w:cstheme="minorHAnsi"/>
                <w:color w:val="000000"/>
              </w:rPr>
            </w:pPr>
            <w:r w:rsidRPr="009958B1">
              <w:rPr>
                <w:rFonts w:cstheme="minorHAnsi"/>
                <w:color w:val="000000"/>
              </w:rPr>
              <w:t xml:space="preserve">2.8.1 Horarios de servicio de alimentación </w:t>
            </w:r>
          </w:p>
        </w:tc>
      </w:tr>
      <w:tr w:rsidR="002A0A46" w:rsidRPr="00F13F22" w:rsidTr="00F3402A">
        <w:trPr>
          <w:trHeight w:val="290"/>
        </w:trPr>
        <w:tc>
          <w:tcPr>
            <w:tcW w:w="5000" w:type="pct"/>
            <w:tcBorders>
              <w:top w:val="nil"/>
              <w:left w:val="single" w:sz="8" w:space="0" w:color="auto"/>
              <w:bottom w:val="single" w:sz="4" w:space="0" w:color="auto"/>
              <w:right w:val="single" w:sz="8" w:space="0" w:color="auto"/>
            </w:tcBorders>
            <w:shd w:val="clear" w:color="auto" w:fill="auto"/>
            <w:vAlign w:val="bottom"/>
            <w:hideMark/>
          </w:tcPr>
          <w:p w:rsidR="002A0A46" w:rsidRPr="009958B1" w:rsidRDefault="002A0A46" w:rsidP="00F3402A">
            <w:pPr>
              <w:rPr>
                <w:rFonts w:cstheme="minorHAnsi"/>
                <w:color w:val="000000"/>
              </w:rPr>
            </w:pPr>
            <w:r w:rsidRPr="009958B1">
              <w:rPr>
                <w:rFonts w:cstheme="minorHAnsi"/>
                <w:color w:val="000000"/>
              </w:rPr>
              <w:t>2.8.2 Flexibilidad y Adaptación a las Necesidades y Variaciones</w:t>
            </w:r>
          </w:p>
        </w:tc>
      </w:tr>
      <w:tr w:rsidR="002A0A46" w:rsidRPr="00F13F22" w:rsidTr="00F3402A">
        <w:trPr>
          <w:trHeight w:val="264"/>
        </w:trPr>
        <w:tc>
          <w:tcPr>
            <w:tcW w:w="5000" w:type="pct"/>
            <w:tcBorders>
              <w:top w:val="nil"/>
              <w:left w:val="single" w:sz="8" w:space="0" w:color="auto"/>
              <w:bottom w:val="single" w:sz="4" w:space="0" w:color="auto"/>
              <w:right w:val="single" w:sz="8" w:space="0" w:color="auto"/>
            </w:tcBorders>
            <w:shd w:val="clear" w:color="auto" w:fill="auto"/>
            <w:vAlign w:val="bottom"/>
            <w:hideMark/>
          </w:tcPr>
          <w:p w:rsidR="002A0A46" w:rsidRPr="009958B1" w:rsidRDefault="002A0A46" w:rsidP="00F3402A">
            <w:pPr>
              <w:rPr>
                <w:rFonts w:cstheme="minorHAnsi"/>
                <w:color w:val="000000"/>
              </w:rPr>
            </w:pPr>
            <w:r w:rsidRPr="009958B1">
              <w:rPr>
                <w:rFonts w:cstheme="minorHAnsi"/>
                <w:color w:val="000000"/>
              </w:rPr>
              <w:t>2.8.3 Planificación y Optimización de Flujos de Trabajo Internos para el Emplatado de Comidas</w:t>
            </w:r>
          </w:p>
        </w:tc>
      </w:tr>
      <w:tr w:rsidR="002A0A46" w:rsidRPr="00F13F22" w:rsidTr="00F3402A">
        <w:trPr>
          <w:trHeight w:val="290"/>
        </w:trPr>
        <w:tc>
          <w:tcPr>
            <w:tcW w:w="5000" w:type="pct"/>
            <w:tcBorders>
              <w:top w:val="nil"/>
              <w:left w:val="single" w:sz="8" w:space="0" w:color="auto"/>
              <w:bottom w:val="single" w:sz="4" w:space="0" w:color="auto"/>
              <w:right w:val="single" w:sz="8" w:space="0" w:color="auto"/>
            </w:tcBorders>
            <w:shd w:val="clear" w:color="auto" w:fill="auto"/>
            <w:vAlign w:val="bottom"/>
            <w:hideMark/>
          </w:tcPr>
          <w:p w:rsidR="002A0A46" w:rsidRPr="009958B1" w:rsidRDefault="002A0A46" w:rsidP="00F3402A">
            <w:pPr>
              <w:rPr>
                <w:rFonts w:cstheme="minorHAnsi"/>
                <w:color w:val="000000"/>
              </w:rPr>
            </w:pPr>
            <w:r w:rsidRPr="009958B1">
              <w:rPr>
                <w:rFonts w:cstheme="minorHAnsi"/>
                <w:color w:val="000000"/>
              </w:rPr>
              <w:t>2.8.4 Mantenimiento de la cadena de calor o frío, según corresponda</w:t>
            </w:r>
          </w:p>
        </w:tc>
      </w:tr>
      <w:tr w:rsidR="002A0A46" w:rsidRPr="00F13F22" w:rsidTr="00F3402A">
        <w:trPr>
          <w:trHeight w:val="290"/>
        </w:trPr>
        <w:tc>
          <w:tcPr>
            <w:tcW w:w="5000" w:type="pct"/>
            <w:tcBorders>
              <w:top w:val="nil"/>
              <w:left w:val="single" w:sz="8" w:space="0" w:color="auto"/>
              <w:bottom w:val="single" w:sz="4" w:space="0" w:color="auto"/>
              <w:right w:val="single" w:sz="8" w:space="0" w:color="auto"/>
            </w:tcBorders>
            <w:shd w:val="clear" w:color="000000" w:fill="FFFFFF"/>
            <w:noWrap/>
            <w:vAlign w:val="bottom"/>
            <w:hideMark/>
          </w:tcPr>
          <w:p w:rsidR="002A0A46" w:rsidRPr="009958B1" w:rsidRDefault="002A0A46" w:rsidP="00F3402A">
            <w:pPr>
              <w:rPr>
                <w:rFonts w:cstheme="minorHAnsi"/>
                <w:color w:val="000000"/>
              </w:rPr>
            </w:pPr>
            <w:r w:rsidRPr="009958B1">
              <w:rPr>
                <w:rFonts w:cstheme="minorHAnsi"/>
                <w:color w:val="000000"/>
              </w:rPr>
              <w:t xml:space="preserve">2.8.5 Atención al beneficiario </w:t>
            </w:r>
          </w:p>
        </w:tc>
      </w:tr>
      <w:tr w:rsidR="002A0A46" w:rsidRPr="00F13F22" w:rsidTr="00F3402A">
        <w:trPr>
          <w:trHeight w:val="290"/>
        </w:trPr>
        <w:tc>
          <w:tcPr>
            <w:tcW w:w="5000" w:type="pct"/>
            <w:tcBorders>
              <w:top w:val="nil"/>
              <w:left w:val="single" w:sz="8" w:space="0" w:color="auto"/>
              <w:bottom w:val="single" w:sz="4" w:space="0" w:color="auto"/>
              <w:right w:val="single" w:sz="8" w:space="0" w:color="auto"/>
            </w:tcBorders>
            <w:shd w:val="clear" w:color="000000" w:fill="FFFFFF"/>
            <w:noWrap/>
            <w:vAlign w:val="bottom"/>
            <w:hideMark/>
          </w:tcPr>
          <w:p w:rsidR="002A0A46" w:rsidRPr="009958B1" w:rsidRDefault="002A0A46" w:rsidP="00F3402A">
            <w:pPr>
              <w:rPr>
                <w:rFonts w:cstheme="minorHAnsi"/>
                <w:color w:val="000000"/>
              </w:rPr>
            </w:pPr>
            <w:r w:rsidRPr="009958B1">
              <w:rPr>
                <w:rFonts w:cstheme="minorHAnsi"/>
                <w:color w:val="000000"/>
              </w:rPr>
              <w:t>2.8.6 Protocolos de entrega en los puntos de consumo</w:t>
            </w:r>
          </w:p>
        </w:tc>
      </w:tr>
      <w:tr w:rsidR="002A0A46" w:rsidRPr="00F13F22" w:rsidTr="00F3402A">
        <w:trPr>
          <w:trHeight w:val="290"/>
        </w:trPr>
        <w:tc>
          <w:tcPr>
            <w:tcW w:w="5000" w:type="pct"/>
            <w:tcBorders>
              <w:top w:val="nil"/>
              <w:left w:val="single" w:sz="8" w:space="0" w:color="auto"/>
              <w:bottom w:val="single" w:sz="4" w:space="0" w:color="auto"/>
              <w:right w:val="single" w:sz="8" w:space="0" w:color="auto"/>
            </w:tcBorders>
            <w:shd w:val="clear" w:color="000000" w:fill="FFFFFF"/>
            <w:noWrap/>
            <w:vAlign w:val="bottom"/>
            <w:hideMark/>
          </w:tcPr>
          <w:p w:rsidR="002A0A46" w:rsidRPr="009958B1" w:rsidRDefault="002A0A46" w:rsidP="00F3402A">
            <w:pPr>
              <w:rPr>
                <w:rFonts w:cstheme="minorHAnsi"/>
                <w:color w:val="000000"/>
              </w:rPr>
            </w:pPr>
            <w:r w:rsidRPr="009958B1">
              <w:rPr>
                <w:rFonts w:cstheme="minorHAnsi"/>
                <w:color w:val="000000"/>
              </w:rPr>
              <w:t>2.8.7 Manejo de residuos y limpieza de áreas de distribución</w:t>
            </w:r>
          </w:p>
        </w:tc>
      </w:tr>
      <w:tr w:rsidR="002A0A46" w:rsidRPr="00F13F22" w:rsidTr="00F3402A">
        <w:trPr>
          <w:trHeight w:val="290"/>
        </w:trPr>
        <w:tc>
          <w:tcPr>
            <w:tcW w:w="5000" w:type="pct"/>
            <w:tcBorders>
              <w:top w:val="nil"/>
              <w:left w:val="single" w:sz="8" w:space="0" w:color="auto"/>
              <w:bottom w:val="single" w:sz="4" w:space="0" w:color="auto"/>
              <w:right w:val="single" w:sz="8" w:space="0" w:color="auto"/>
            </w:tcBorders>
            <w:shd w:val="clear" w:color="000000" w:fill="FFFFFF"/>
            <w:noWrap/>
            <w:vAlign w:val="bottom"/>
            <w:hideMark/>
          </w:tcPr>
          <w:p w:rsidR="002A0A46" w:rsidRPr="009958B1" w:rsidRDefault="002A0A46" w:rsidP="00F3402A">
            <w:pPr>
              <w:rPr>
                <w:rFonts w:cstheme="minorHAnsi"/>
                <w:color w:val="000000"/>
              </w:rPr>
            </w:pPr>
            <w:r w:rsidRPr="009958B1">
              <w:rPr>
                <w:rFonts w:cstheme="minorHAnsi"/>
                <w:color w:val="000000"/>
              </w:rPr>
              <w:t>2.8.8 Mecanismos de control y registro de entregas</w:t>
            </w:r>
          </w:p>
        </w:tc>
      </w:tr>
      <w:tr w:rsidR="002A0A46" w:rsidRPr="00F13F22" w:rsidTr="00F3402A">
        <w:trPr>
          <w:trHeight w:val="290"/>
        </w:trPr>
        <w:tc>
          <w:tcPr>
            <w:tcW w:w="5000" w:type="pct"/>
            <w:tcBorders>
              <w:top w:val="nil"/>
              <w:left w:val="single" w:sz="8" w:space="0" w:color="auto"/>
              <w:bottom w:val="single" w:sz="4" w:space="0" w:color="auto"/>
              <w:right w:val="single" w:sz="8" w:space="0" w:color="auto"/>
            </w:tcBorders>
            <w:shd w:val="clear" w:color="000000" w:fill="FFFFFF"/>
            <w:noWrap/>
            <w:vAlign w:val="bottom"/>
          </w:tcPr>
          <w:p w:rsidR="002A0A46" w:rsidRPr="009958B1" w:rsidRDefault="002A0A46" w:rsidP="00F3402A">
            <w:pPr>
              <w:rPr>
                <w:rFonts w:cstheme="minorHAnsi"/>
                <w:color w:val="000000"/>
              </w:rPr>
            </w:pPr>
            <w:r w:rsidRPr="009958B1">
              <w:rPr>
                <w:rFonts w:cstheme="minorHAnsi"/>
                <w:color w:val="000000"/>
              </w:rPr>
              <w:t>2.8.9 Otras especificaciones técnicas</w:t>
            </w:r>
          </w:p>
        </w:tc>
      </w:tr>
      <w:tr w:rsidR="002A0A46" w:rsidRPr="00F13F22" w:rsidTr="00F3402A">
        <w:trPr>
          <w:trHeight w:val="290"/>
        </w:trPr>
        <w:tc>
          <w:tcPr>
            <w:tcW w:w="5000" w:type="pct"/>
            <w:tcBorders>
              <w:top w:val="nil"/>
              <w:left w:val="single" w:sz="8" w:space="0" w:color="auto"/>
              <w:bottom w:val="single" w:sz="4" w:space="0" w:color="auto"/>
              <w:right w:val="single" w:sz="8" w:space="0" w:color="auto"/>
            </w:tcBorders>
            <w:shd w:val="clear" w:color="000000" w:fill="FFFFFF"/>
            <w:noWrap/>
            <w:vAlign w:val="bottom"/>
            <w:hideMark/>
          </w:tcPr>
          <w:p w:rsidR="002A0A46" w:rsidRPr="009958B1" w:rsidRDefault="002A0A46" w:rsidP="00F3402A">
            <w:pPr>
              <w:rPr>
                <w:rFonts w:cstheme="minorHAnsi"/>
                <w:b/>
                <w:bCs/>
                <w:color w:val="000000"/>
              </w:rPr>
            </w:pPr>
            <w:r w:rsidRPr="009958B1">
              <w:rPr>
                <w:rFonts w:cstheme="minorHAnsi"/>
                <w:b/>
                <w:bCs/>
                <w:color w:val="000000"/>
              </w:rPr>
              <w:t>2.9 Actividades territoriales fuera de Bogotá</w:t>
            </w:r>
          </w:p>
        </w:tc>
      </w:tr>
      <w:tr w:rsidR="002A0A46" w:rsidRPr="00F13F22" w:rsidTr="00F3402A">
        <w:trPr>
          <w:trHeight w:val="290"/>
        </w:trPr>
        <w:tc>
          <w:tcPr>
            <w:tcW w:w="5000" w:type="pct"/>
            <w:tcBorders>
              <w:top w:val="nil"/>
              <w:left w:val="single" w:sz="8" w:space="0" w:color="auto"/>
              <w:bottom w:val="single" w:sz="4" w:space="0" w:color="auto"/>
              <w:right w:val="single" w:sz="8" w:space="0" w:color="auto"/>
            </w:tcBorders>
            <w:shd w:val="clear" w:color="000000" w:fill="FFFFFF"/>
            <w:noWrap/>
            <w:vAlign w:val="bottom"/>
            <w:hideMark/>
          </w:tcPr>
          <w:p w:rsidR="002A0A46" w:rsidRPr="009958B1" w:rsidRDefault="002A0A46" w:rsidP="00F3402A">
            <w:pPr>
              <w:rPr>
                <w:rFonts w:cstheme="minorHAnsi"/>
                <w:b/>
                <w:bCs/>
                <w:color w:val="000000"/>
              </w:rPr>
            </w:pPr>
            <w:r w:rsidRPr="009958B1">
              <w:rPr>
                <w:rFonts w:cstheme="minorHAnsi"/>
                <w:b/>
                <w:bCs/>
                <w:color w:val="000000"/>
              </w:rPr>
              <w:t>2.10 Aseo y alistamiento siguiente jornada</w:t>
            </w:r>
          </w:p>
        </w:tc>
      </w:tr>
      <w:tr w:rsidR="002A0A46" w:rsidRPr="00F13F22" w:rsidTr="00F3402A">
        <w:trPr>
          <w:trHeight w:val="290"/>
        </w:trPr>
        <w:tc>
          <w:tcPr>
            <w:tcW w:w="5000" w:type="pct"/>
            <w:tcBorders>
              <w:top w:val="nil"/>
              <w:left w:val="single" w:sz="8" w:space="0" w:color="auto"/>
              <w:bottom w:val="single" w:sz="4" w:space="0" w:color="auto"/>
              <w:right w:val="single" w:sz="8" w:space="0" w:color="auto"/>
            </w:tcBorders>
            <w:shd w:val="clear" w:color="000000" w:fill="FFFFFF"/>
            <w:noWrap/>
            <w:vAlign w:val="bottom"/>
            <w:hideMark/>
          </w:tcPr>
          <w:p w:rsidR="002A0A46" w:rsidRPr="009958B1" w:rsidRDefault="002A0A46" w:rsidP="00F3402A">
            <w:pPr>
              <w:rPr>
                <w:rFonts w:cstheme="minorHAnsi"/>
                <w:color w:val="000000"/>
              </w:rPr>
            </w:pPr>
            <w:r w:rsidRPr="009958B1">
              <w:rPr>
                <w:rFonts w:cstheme="minorHAnsi"/>
                <w:color w:val="000000"/>
              </w:rPr>
              <w:t>2.10.1 Protocolos de limpieza y desinfección de instalaciones y equipos</w:t>
            </w:r>
          </w:p>
        </w:tc>
      </w:tr>
      <w:tr w:rsidR="002A0A46" w:rsidRPr="00F13F22" w:rsidTr="00F3402A">
        <w:trPr>
          <w:trHeight w:val="290"/>
        </w:trPr>
        <w:tc>
          <w:tcPr>
            <w:tcW w:w="5000" w:type="pct"/>
            <w:tcBorders>
              <w:top w:val="nil"/>
              <w:left w:val="single" w:sz="8" w:space="0" w:color="auto"/>
              <w:bottom w:val="single" w:sz="4" w:space="0" w:color="auto"/>
              <w:right w:val="single" w:sz="8" w:space="0" w:color="auto"/>
            </w:tcBorders>
            <w:shd w:val="clear" w:color="000000" w:fill="FFFFFF"/>
            <w:noWrap/>
            <w:vAlign w:val="bottom"/>
            <w:hideMark/>
          </w:tcPr>
          <w:p w:rsidR="002A0A46" w:rsidRPr="009958B1" w:rsidRDefault="002A0A46" w:rsidP="00F3402A">
            <w:pPr>
              <w:rPr>
                <w:rFonts w:cstheme="minorHAnsi"/>
                <w:color w:val="000000"/>
              </w:rPr>
            </w:pPr>
            <w:r w:rsidRPr="009958B1">
              <w:rPr>
                <w:rFonts w:cstheme="minorHAnsi"/>
                <w:color w:val="000000"/>
              </w:rPr>
              <w:t xml:space="preserve">2.10.2 Lavado y organización de menaje </w:t>
            </w:r>
          </w:p>
        </w:tc>
      </w:tr>
      <w:tr w:rsidR="002A0A46" w:rsidRPr="00F13F22" w:rsidTr="00F3402A">
        <w:trPr>
          <w:trHeight w:val="290"/>
        </w:trPr>
        <w:tc>
          <w:tcPr>
            <w:tcW w:w="5000" w:type="pct"/>
            <w:tcBorders>
              <w:top w:val="nil"/>
              <w:left w:val="single" w:sz="8" w:space="0" w:color="auto"/>
              <w:bottom w:val="single" w:sz="4" w:space="0" w:color="auto"/>
              <w:right w:val="single" w:sz="8" w:space="0" w:color="auto"/>
            </w:tcBorders>
            <w:shd w:val="clear" w:color="000000" w:fill="FFFFFF"/>
            <w:noWrap/>
            <w:vAlign w:val="bottom"/>
            <w:hideMark/>
          </w:tcPr>
          <w:p w:rsidR="002A0A46" w:rsidRPr="009958B1" w:rsidRDefault="002A0A46" w:rsidP="00F3402A">
            <w:pPr>
              <w:rPr>
                <w:rFonts w:cstheme="minorHAnsi"/>
                <w:color w:val="000000"/>
              </w:rPr>
            </w:pPr>
            <w:r w:rsidRPr="009958B1">
              <w:rPr>
                <w:rFonts w:cstheme="minorHAnsi"/>
                <w:color w:val="000000"/>
              </w:rPr>
              <w:t xml:space="preserve">2.10.3 Limpieza y desinfección de cocina </w:t>
            </w:r>
          </w:p>
        </w:tc>
      </w:tr>
      <w:tr w:rsidR="002A0A46" w:rsidRPr="00F13F22" w:rsidTr="00F3402A">
        <w:trPr>
          <w:trHeight w:val="290"/>
        </w:trPr>
        <w:tc>
          <w:tcPr>
            <w:tcW w:w="5000" w:type="pct"/>
            <w:tcBorders>
              <w:top w:val="nil"/>
              <w:left w:val="single" w:sz="8" w:space="0" w:color="auto"/>
              <w:bottom w:val="single" w:sz="4" w:space="0" w:color="auto"/>
              <w:right w:val="single" w:sz="8" w:space="0" w:color="auto"/>
            </w:tcBorders>
            <w:shd w:val="clear" w:color="000000" w:fill="FFFFFF"/>
            <w:noWrap/>
            <w:vAlign w:val="bottom"/>
          </w:tcPr>
          <w:p w:rsidR="002A0A46" w:rsidRPr="009958B1" w:rsidRDefault="002A0A46" w:rsidP="00F3402A">
            <w:pPr>
              <w:rPr>
                <w:rFonts w:cstheme="minorHAnsi"/>
                <w:color w:val="000000"/>
              </w:rPr>
            </w:pPr>
            <w:r w:rsidRPr="009958B1">
              <w:rPr>
                <w:rFonts w:cstheme="minorHAnsi"/>
                <w:color w:val="000000"/>
              </w:rPr>
              <w:t>2.10.4 Manejo de raciones sobrantes</w:t>
            </w:r>
          </w:p>
        </w:tc>
      </w:tr>
      <w:tr w:rsidR="002A0A46" w:rsidRPr="00F13F22" w:rsidTr="00F3402A">
        <w:trPr>
          <w:trHeight w:val="300"/>
        </w:trPr>
        <w:tc>
          <w:tcPr>
            <w:tcW w:w="5000" w:type="pct"/>
            <w:tcBorders>
              <w:top w:val="nil"/>
              <w:left w:val="single" w:sz="8" w:space="0" w:color="auto"/>
              <w:bottom w:val="nil"/>
              <w:right w:val="single" w:sz="8" w:space="0" w:color="auto"/>
            </w:tcBorders>
            <w:shd w:val="clear" w:color="000000" w:fill="FFFFFF"/>
            <w:vAlign w:val="bottom"/>
            <w:hideMark/>
          </w:tcPr>
          <w:p w:rsidR="002A0A46" w:rsidRPr="009958B1" w:rsidRDefault="002A0A46" w:rsidP="00F3402A">
            <w:pPr>
              <w:rPr>
                <w:rFonts w:cstheme="minorHAnsi"/>
                <w:b/>
                <w:bCs/>
                <w:color w:val="000000"/>
              </w:rPr>
            </w:pPr>
            <w:r w:rsidRPr="009958B1">
              <w:rPr>
                <w:rFonts w:cstheme="minorHAnsi"/>
                <w:b/>
                <w:bCs/>
                <w:color w:val="000000"/>
              </w:rPr>
              <w:t>2.11 Análisis de laboratorio de alimentos</w:t>
            </w:r>
          </w:p>
        </w:tc>
      </w:tr>
      <w:tr w:rsidR="002A0A46" w:rsidRPr="00F13F22" w:rsidTr="00F3402A">
        <w:trPr>
          <w:trHeight w:val="320"/>
        </w:trPr>
        <w:tc>
          <w:tcPr>
            <w:tcW w:w="5000" w:type="pct"/>
            <w:tcBorders>
              <w:top w:val="single" w:sz="8" w:space="0" w:color="auto"/>
              <w:left w:val="single" w:sz="8" w:space="0" w:color="auto"/>
              <w:bottom w:val="single" w:sz="8" w:space="0" w:color="auto"/>
              <w:right w:val="single" w:sz="8" w:space="0" w:color="auto"/>
            </w:tcBorders>
            <w:shd w:val="clear" w:color="auto" w:fill="808080" w:themeFill="background1" w:themeFillShade="80"/>
            <w:vAlign w:val="bottom"/>
            <w:hideMark/>
          </w:tcPr>
          <w:p w:rsidR="002A0A46" w:rsidRPr="009958B1" w:rsidRDefault="002A0A46" w:rsidP="00F3402A">
            <w:pPr>
              <w:rPr>
                <w:rFonts w:cstheme="minorHAnsi"/>
                <w:b/>
                <w:bCs/>
                <w:color w:val="FFFFFF"/>
              </w:rPr>
            </w:pPr>
            <w:r w:rsidRPr="009958B1">
              <w:rPr>
                <w:rFonts w:cstheme="minorHAnsi"/>
                <w:b/>
                <w:bCs/>
                <w:color w:val="FFFFFF"/>
              </w:rPr>
              <w:t xml:space="preserve"> FASE III ADMINISTRATIVA</w:t>
            </w:r>
          </w:p>
        </w:tc>
      </w:tr>
      <w:tr w:rsidR="002A0A46" w:rsidRPr="00F13F22" w:rsidTr="00F3402A">
        <w:trPr>
          <w:trHeight w:val="310"/>
        </w:trPr>
        <w:tc>
          <w:tcPr>
            <w:tcW w:w="5000" w:type="pct"/>
            <w:tcBorders>
              <w:top w:val="nil"/>
              <w:left w:val="single" w:sz="8" w:space="0" w:color="auto"/>
              <w:bottom w:val="single" w:sz="4" w:space="0" w:color="auto"/>
              <w:right w:val="single" w:sz="8" w:space="0" w:color="auto"/>
            </w:tcBorders>
            <w:shd w:val="clear" w:color="000000" w:fill="FFFFFF"/>
            <w:vAlign w:val="bottom"/>
            <w:hideMark/>
          </w:tcPr>
          <w:p w:rsidR="002A0A46" w:rsidRPr="009958B1" w:rsidRDefault="002A0A46" w:rsidP="00F3402A">
            <w:pPr>
              <w:rPr>
                <w:rFonts w:cstheme="minorHAnsi"/>
                <w:b/>
                <w:bCs/>
              </w:rPr>
            </w:pPr>
            <w:r w:rsidRPr="009958B1">
              <w:rPr>
                <w:rFonts w:cstheme="minorHAnsi"/>
                <w:b/>
                <w:bCs/>
              </w:rPr>
              <w:t xml:space="preserve">3.1 Registro y documentación </w:t>
            </w:r>
          </w:p>
        </w:tc>
      </w:tr>
      <w:tr w:rsidR="002A0A46" w:rsidRPr="00F13F22" w:rsidTr="00F3402A">
        <w:trPr>
          <w:trHeight w:val="310"/>
        </w:trPr>
        <w:tc>
          <w:tcPr>
            <w:tcW w:w="5000" w:type="pct"/>
            <w:tcBorders>
              <w:top w:val="nil"/>
              <w:left w:val="single" w:sz="8" w:space="0" w:color="auto"/>
              <w:bottom w:val="single" w:sz="4" w:space="0" w:color="auto"/>
              <w:right w:val="single" w:sz="8" w:space="0" w:color="auto"/>
            </w:tcBorders>
            <w:shd w:val="clear" w:color="000000" w:fill="FFFFFF"/>
            <w:vAlign w:val="bottom"/>
            <w:hideMark/>
          </w:tcPr>
          <w:p w:rsidR="002A0A46" w:rsidRPr="009958B1" w:rsidRDefault="002A0A46" w:rsidP="00F3402A">
            <w:pPr>
              <w:rPr>
                <w:rFonts w:cstheme="minorHAnsi"/>
                <w:b/>
                <w:bCs/>
              </w:rPr>
            </w:pPr>
            <w:r w:rsidRPr="009958B1">
              <w:rPr>
                <w:rFonts w:cstheme="minorHAnsi"/>
                <w:b/>
                <w:bCs/>
              </w:rPr>
              <w:t xml:space="preserve">3.2 Elaboración y entrega de informes de ejecución mensuales </w:t>
            </w:r>
          </w:p>
        </w:tc>
      </w:tr>
      <w:tr w:rsidR="002A0A46" w:rsidRPr="00F13F22" w:rsidTr="00F3402A">
        <w:trPr>
          <w:trHeight w:val="310"/>
        </w:trPr>
        <w:tc>
          <w:tcPr>
            <w:tcW w:w="5000" w:type="pct"/>
            <w:tcBorders>
              <w:top w:val="nil"/>
              <w:left w:val="single" w:sz="8" w:space="0" w:color="auto"/>
              <w:bottom w:val="single" w:sz="4" w:space="0" w:color="auto"/>
              <w:right w:val="single" w:sz="8" w:space="0" w:color="auto"/>
            </w:tcBorders>
            <w:shd w:val="clear" w:color="000000" w:fill="FFFFFF"/>
            <w:vAlign w:val="bottom"/>
            <w:hideMark/>
          </w:tcPr>
          <w:p w:rsidR="002A0A46" w:rsidRPr="009958B1" w:rsidRDefault="002A0A46" w:rsidP="00F3402A">
            <w:pPr>
              <w:rPr>
                <w:rFonts w:cstheme="minorHAnsi"/>
              </w:rPr>
            </w:pPr>
            <w:r w:rsidRPr="009958B1">
              <w:rPr>
                <w:rFonts w:cstheme="minorHAnsi"/>
              </w:rPr>
              <w:t>3.2.1 Registro fotográfico</w:t>
            </w:r>
          </w:p>
        </w:tc>
      </w:tr>
      <w:tr w:rsidR="002A0A46" w:rsidRPr="00F13F22" w:rsidTr="00F3402A">
        <w:trPr>
          <w:trHeight w:val="320"/>
        </w:trPr>
        <w:tc>
          <w:tcPr>
            <w:tcW w:w="5000" w:type="pct"/>
            <w:tcBorders>
              <w:top w:val="nil"/>
              <w:left w:val="single" w:sz="8" w:space="0" w:color="auto"/>
              <w:bottom w:val="nil"/>
              <w:right w:val="single" w:sz="8" w:space="0" w:color="auto"/>
            </w:tcBorders>
            <w:shd w:val="clear" w:color="000000" w:fill="FFFFFF"/>
            <w:vAlign w:val="bottom"/>
            <w:hideMark/>
          </w:tcPr>
          <w:p w:rsidR="002A0A46" w:rsidRPr="009958B1" w:rsidRDefault="002A0A46" w:rsidP="00F3402A">
            <w:pPr>
              <w:rPr>
                <w:rFonts w:cstheme="minorHAnsi"/>
                <w:b/>
                <w:bCs/>
              </w:rPr>
            </w:pPr>
            <w:r w:rsidRPr="009958B1">
              <w:rPr>
                <w:rFonts w:cstheme="minorHAnsi"/>
                <w:b/>
                <w:bCs/>
              </w:rPr>
              <w:t xml:space="preserve">3.3 Registro de entrega de diferentes tipos de comida </w:t>
            </w:r>
          </w:p>
        </w:tc>
      </w:tr>
      <w:tr w:rsidR="002A0A46" w:rsidRPr="00F13F22" w:rsidTr="00F3402A">
        <w:trPr>
          <w:trHeight w:val="320"/>
        </w:trPr>
        <w:tc>
          <w:tcPr>
            <w:tcW w:w="5000" w:type="pct"/>
            <w:tcBorders>
              <w:top w:val="single" w:sz="8" w:space="0" w:color="auto"/>
              <w:left w:val="single" w:sz="8" w:space="0" w:color="auto"/>
              <w:bottom w:val="single" w:sz="8" w:space="0" w:color="auto"/>
              <w:right w:val="single" w:sz="8" w:space="0" w:color="auto"/>
            </w:tcBorders>
            <w:shd w:val="clear" w:color="auto" w:fill="808080" w:themeFill="background1" w:themeFillShade="80"/>
            <w:vAlign w:val="bottom"/>
            <w:hideMark/>
          </w:tcPr>
          <w:p w:rsidR="002A0A46" w:rsidRPr="009958B1" w:rsidRDefault="002A0A46" w:rsidP="00F3402A">
            <w:pPr>
              <w:rPr>
                <w:rFonts w:cstheme="minorHAnsi"/>
                <w:b/>
                <w:bCs/>
                <w:color w:val="FFFFFF"/>
              </w:rPr>
            </w:pPr>
            <w:r w:rsidRPr="009958B1">
              <w:rPr>
                <w:rFonts w:cstheme="minorHAnsi"/>
                <w:b/>
                <w:bCs/>
                <w:color w:val="FFFFFF"/>
              </w:rPr>
              <w:t xml:space="preserve"> FASE IV CALIDAD SEGUIMIENTO Y MONITOREO</w:t>
            </w:r>
          </w:p>
        </w:tc>
      </w:tr>
      <w:tr w:rsidR="002A0A46" w:rsidRPr="00F13F22" w:rsidTr="00F3402A">
        <w:trPr>
          <w:trHeight w:val="310"/>
        </w:trPr>
        <w:tc>
          <w:tcPr>
            <w:tcW w:w="5000" w:type="pct"/>
            <w:tcBorders>
              <w:top w:val="nil"/>
              <w:left w:val="single" w:sz="8" w:space="0" w:color="auto"/>
              <w:bottom w:val="single" w:sz="4" w:space="0" w:color="auto"/>
              <w:right w:val="single" w:sz="8" w:space="0" w:color="auto"/>
            </w:tcBorders>
            <w:shd w:val="clear" w:color="000000" w:fill="FFFFFF"/>
            <w:vAlign w:val="bottom"/>
            <w:hideMark/>
          </w:tcPr>
          <w:p w:rsidR="002A0A46" w:rsidRPr="009958B1" w:rsidRDefault="002A0A46" w:rsidP="00F3402A">
            <w:pPr>
              <w:rPr>
                <w:rFonts w:cstheme="minorHAnsi"/>
                <w:b/>
                <w:bCs/>
              </w:rPr>
            </w:pPr>
            <w:r w:rsidRPr="009958B1">
              <w:rPr>
                <w:rFonts w:cstheme="minorHAnsi"/>
                <w:b/>
                <w:bCs/>
              </w:rPr>
              <w:t xml:space="preserve">4.1 Comité técnico de seguimiento </w:t>
            </w:r>
          </w:p>
        </w:tc>
      </w:tr>
      <w:tr w:rsidR="002A0A46" w:rsidRPr="00F13F22" w:rsidTr="00F3402A">
        <w:trPr>
          <w:trHeight w:val="310"/>
        </w:trPr>
        <w:tc>
          <w:tcPr>
            <w:tcW w:w="5000" w:type="pct"/>
            <w:tcBorders>
              <w:top w:val="nil"/>
              <w:left w:val="single" w:sz="8" w:space="0" w:color="auto"/>
              <w:bottom w:val="single" w:sz="4" w:space="0" w:color="auto"/>
              <w:right w:val="single" w:sz="8" w:space="0" w:color="auto"/>
            </w:tcBorders>
            <w:shd w:val="clear" w:color="000000" w:fill="FFFFFF"/>
            <w:vAlign w:val="bottom"/>
          </w:tcPr>
          <w:p w:rsidR="002A0A46" w:rsidRPr="009958B1" w:rsidRDefault="002A0A46" w:rsidP="00F3402A">
            <w:pPr>
              <w:rPr>
                <w:rFonts w:cstheme="minorHAnsi"/>
                <w:b/>
                <w:bCs/>
              </w:rPr>
            </w:pPr>
            <w:r w:rsidRPr="009958B1">
              <w:rPr>
                <w:rFonts w:cstheme="minorHAnsi"/>
                <w:b/>
                <w:bCs/>
              </w:rPr>
              <w:t>4.2 Cronograma</w:t>
            </w:r>
          </w:p>
        </w:tc>
      </w:tr>
      <w:tr w:rsidR="002A0A46" w:rsidRPr="00F13F22" w:rsidTr="00F3402A">
        <w:trPr>
          <w:trHeight w:val="290"/>
        </w:trPr>
        <w:tc>
          <w:tcPr>
            <w:tcW w:w="5000" w:type="pct"/>
            <w:tcBorders>
              <w:top w:val="nil"/>
              <w:left w:val="single" w:sz="8" w:space="0" w:color="auto"/>
              <w:bottom w:val="single" w:sz="4" w:space="0" w:color="auto"/>
              <w:right w:val="single" w:sz="8" w:space="0" w:color="auto"/>
            </w:tcBorders>
            <w:shd w:val="clear" w:color="000000" w:fill="FFFFFF"/>
            <w:noWrap/>
            <w:vAlign w:val="bottom"/>
            <w:hideMark/>
          </w:tcPr>
          <w:p w:rsidR="002A0A46" w:rsidRPr="009958B1" w:rsidRDefault="002A0A46" w:rsidP="00F3402A">
            <w:pPr>
              <w:rPr>
                <w:rFonts w:cstheme="minorHAnsi"/>
                <w:b/>
                <w:bCs/>
                <w:color w:val="000000"/>
              </w:rPr>
            </w:pPr>
            <w:r w:rsidRPr="009958B1">
              <w:rPr>
                <w:rFonts w:cstheme="minorHAnsi"/>
                <w:b/>
                <w:bCs/>
              </w:rPr>
              <w:t>4.3 Gestión de Inventario para la Eficiencia y Control</w:t>
            </w:r>
          </w:p>
        </w:tc>
      </w:tr>
      <w:tr w:rsidR="002A0A46" w:rsidRPr="00F13F22" w:rsidTr="00F3402A">
        <w:trPr>
          <w:trHeight w:val="290"/>
        </w:trPr>
        <w:tc>
          <w:tcPr>
            <w:tcW w:w="5000" w:type="pct"/>
            <w:tcBorders>
              <w:top w:val="nil"/>
              <w:left w:val="single" w:sz="8" w:space="0" w:color="auto"/>
              <w:bottom w:val="single" w:sz="4" w:space="0" w:color="auto"/>
              <w:right w:val="single" w:sz="8" w:space="0" w:color="auto"/>
            </w:tcBorders>
            <w:shd w:val="clear" w:color="000000" w:fill="FFFFFF"/>
            <w:noWrap/>
            <w:vAlign w:val="bottom"/>
            <w:hideMark/>
          </w:tcPr>
          <w:p w:rsidR="002A0A46" w:rsidRPr="009958B1" w:rsidRDefault="002A0A46" w:rsidP="00F3402A">
            <w:pPr>
              <w:rPr>
                <w:rFonts w:cstheme="minorHAnsi"/>
                <w:b/>
                <w:bCs/>
                <w:color w:val="000000"/>
              </w:rPr>
            </w:pPr>
            <w:r w:rsidRPr="009958B1">
              <w:rPr>
                <w:rFonts w:cstheme="minorHAnsi"/>
                <w:b/>
                <w:bCs/>
              </w:rPr>
              <w:t xml:space="preserve">4.4 Auditorias y pruebas </w:t>
            </w:r>
          </w:p>
        </w:tc>
      </w:tr>
      <w:tr w:rsidR="002A0A46" w:rsidRPr="00F13F22" w:rsidTr="00F3402A">
        <w:trPr>
          <w:trHeight w:val="290"/>
        </w:trPr>
        <w:tc>
          <w:tcPr>
            <w:tcW w:w="5000" w:type="pct"/>
            <w:tcBorders>
              <w:top w:val="nil"/>
              <w:left w:val="single" w:sz="8" w:space="0" w:color="auto"/>
              <w:bottom w:val="single" w:sz="4" w:space="0" w:color="auto"/>
              <w:right w:val="single" w:sz="8" w:space="0" w:color="auto"/>
            </w:tcBorders>
            <w:shd w:val="clear" w:color="000000" w:fill="FFFFFF"/>
            <w:noWrap/>
            <w:vAlign w:val="bottom"/>
            <w:hideMark/>
          </w:tcPr>
          <w:p w:rsidR="002A0A46" w:rsidRPr="009958B1" w:rsidRDefault="002A0A46" w:rsidP="00F3402A">
            <w:pPr>
              <w:rPr>
                <w:rFonts w:cstheme="minorHAnsi"/>
                <w:b/>
                <w:bCs/>
                <w:color w:val="000000"/>
              </w:rPr>
            </w:pPr>
            <w:r w:rsidRPr="009958B1">
              <w:rPr>
                <w:rFonts w:cstheme="minorHAnsi"/>
                <w:b/>
                <w:bCs/>
              </w:rPr>
              <w:t>4.5 Cumplimiento normativo</w:t>
            </w:r>
          </w:p>
        </w:tc>
      </w:tr>
      <w:tr w:rsidR="002A0A46" w:rsidRPr="00F13F22" w:rsidTr="00F3402A">
        <w:trPr>
          <w:trHeight w:val="290"/>
        </w:trPr>
        <w:tc>
          <w:tcPr>
            <w:tcW w:w="5000" w:type="pct"/>
            <w:tcBorders>
              <w:top w:val="nil"/>
              <w:left w:val="single" w:sz="8" w:space="0" w:color="auto"/>
              <w:bottom w:val="single" w:sz="4" w:space="0" w:color="auto"/>
              <w:right w:val="single" w:sz="8" w:space="0" w:color="auto"/>
            </w:tcBorders>
            <w:shd w:val="clear" w:color="000000" w:fill="FFFFFF"/>
            <w:noWrap/>
            <w:vAlign w:val="bottom"/>
            <w:hideMark/>
          </w:tcPr>
          <w:p w:rsidR="002A0A46" w:rsidRPr="009958B1" w:rsidRDefault="002A0A46" w:rsidP="00F3402A">
            <w:pPr>
              <w:rPr>
                <w:rFonts w:cstheme="minorHAnsi"/>
                <w:b/>
                <w:bCs/>
                <w:color w:val="000000"/>
              </w:rPr>
            </w:pPr>
            <w:r w:rsidRPr="009958B1">
              <w:rPr>
                <w:rFonts w:cstheme="minorHAnsi"/>
                <w:b/>
                <w:bCs/>
              </w:rPr>
              <w:t xml:space="preserve">4.6 Evaluación de resultados </w:t>
            </w:r>
          </w:p>
        </w:tc>
      </w:tr>
      <w:tr w:rsidR="002A0A46" w:rsidRPr="00F13F22" w:rsidTr="00F3402A">
        <w:trPr>
          <w:trHeight w:val="290"/>
        </w:trPr>
        <w:tc>
          <w:tcPr>
            <w:tcW w:w="5000" w:type="pct"/>
            <w:tcBorders>
              <w:top w:val="nil"/>
              <w:left w:val="single" w:sz="8" w:space="0" w:color="auto"/>
              <w:bottom w:val="single" w:sz="4" w:space="0" w:color="auto"/>
              <w:right w:val="single" w:sz="8" w:space="0" w:color="auto"/>
            </w:tcBorders>
            <w:shd w:val="clear" w:color="000000" w:fill="FFFFFF"/>
            <w:noWrap/>
            <w:vAlign w:val="bottom"/>
            <w:hideMark/>
          </w:tcPr>
          <w:p w:rsidR="002A0A46" w:rsidRPr="009958B1" w:rsidRDefault="002A0A46" w:rsidP="00F3402A">
            <w:pPr>
              <w:rPr>
                <w:rFonts w:cstheme="minorHAnsi"/>
                <w:b/>
                <w:bCs/>
                <w:color w:val="000000"/>
              </w:rPr>
            </w:pPr>
            <w:r w:rsidRPr="009958B1">
              <w:rPr>
                <w:rFonts w:cstheme="minorHAnsi"/>
                <w:b/>
                <w:bCs/>
              </w:rPr>
              <w:t>4.7. Seguimiento y control</w:t>
            </w:r>
          </w:p>
        </w:tc>
      </w:tr>
      <w:tr w:rsidR="002A0A46" w:rsidRPr="00F13F22" w:rsidTr="00F3402A">
        <w:trPr>
          <w:trHeight w:val="300"/>
        </w:trPr>
        <w:tc>
          <w:tcPr>
            <w:tcW w:w="5000" w:type="pct"/>
            <w:tcBorders>
              <w:top w:val="nil"/>
              <w:left w:val="single" w:sz="8" w:space="0" w:color="auto"/>
              <w:bottom w:val="single" w:sz="8" w:space="0" w:color="auto"/>
              <w:right w:val="single" w:sz="8" w:space="0" w:color="auto"/>
            </w:tcBorders>
            <w:shd w:val="clear" w:color="000000" w:fill="FFFFFF"/>
            <w:noWrap/>
            <w:vAlign w:val="bottom"/>
            <w:hideMark/>
          </w:tcPr>
          <w:p w:rsidR="002A0A46" w:rsidRPr="009958B1" w:rsidRDefault="002A0A46" w:rsidP="00F3402A">
            <w:pPr>
              <w:rPr>
                <w:rFonts w:cstheme="minorHAnsi"/>
                <w:b/>
                <w:bCs/>
                <w:color w:val="000000"/>
              </w:rPr>
            </w:pPr>
            <w:r w:rsidRPr="009958B1">
              <w:rPr>
                <w:rFonts w:cstheme="minorHAnsi"/>
                <w:b/>
                <w:bCs/>
              </w:rPr>
              <w:t>4.8 Riesgos e imprevistos</w:t>
            </w:r>
          </w:p>
        </w:tc>
      </w:tr>
    </w:tbl>
    <w:p w:rsidR="002A0A46" w:rsidRDefault="002A0A46" w:rsidP="00BA5313">
      <w:pPr>
        <w:pStyle w:val="NormalWeb"/>
        <w:jc w:val="both"/>
        <w:rPr>
          <w:rFonts w:asciiTheme="minorHAnsi" w:eastAsiaTheme="minorHAnsi" w:hAnsiTheme="minorHAnsi" w:cstheme="minorBidi"/>
          <w:b/>
          <w:bCs/>
          <w:sz w:val="22"/>
          <w:szCs w:val="22"/>
          <w:lang w:eastAsia="en-US"/>
        </w:rPr>
      </w:pPr>
    </w:p>
    <w:p w:rsidR="002A0A46" w:rsidRPr="002A0A46" w:rsidRDefault="00735BE2" w:rsidP="002A0A46">
      <w:pPr>
        <w:pStyle w:val="Ttulo2"/>
        <w:shd w:val="clear" w:color="auto" w:fill="A6A6A6" w:themeFill="background1" w:themeFillShade="A6"/>
        <w:rPr>
          <w:b/>
          <w:color w:val="FFFFFF" w:themeColor="background1"/>
        </w:rPr>
      </w:pPr>
      <w:bookmarkStart w:id="14" w:name="_Toc195633226"/>
      <w:r>
        <w:rPr>
          <w:b/>
          <w:color w:val="FFFFFF" w:themeColor="background1"/>
        </w:rPr>
        <w:t>2</w:t>
      </w:r>
      <w:r w:rsidR="002A0A46">
        <w:rPr>
          <w:b/>
          <w:color w:val="FFFFFF" w:themeColor="background1"/>
        </w:rPr>
        <w:t>.2 Descripción de las Fases</w:t>
      </w:r>
      <w:r w:rsidR="002A0A46" w:rsidRPr="002A0A46">
        <w:rPr>
          <w:b/>
          <w:color w:val="FFFFFF" w:themeColor="background1"/>
        </w:rPr>
        <w:t xml:space="preserve"> de ejecución</w:t>
      </w:r>
      <w:bookmarkEnd w:id="14"/>
      <w:r w:rsidR="002A0A46" w:rsidRPr="002A0A46">
        <w:rPr>
          <w:b/>
          <w:color w:val="FFFFFF" w:themeColor="background1"/>
        </w:rPr>
        <w:t xml:space="preserve"> </w:t>
      </w:r>
    </w:p>
    <w:p w:rsidR="002A0A46" w:rsidRDefault="00735BE2" w:rsidP="00BA5313">
      <w:pPr>
        <w:pStyle w:val="NormalWeb"/>
        <w:jc w:val="both"/>
        <w:rPr>
          <w:rFonts w:asciiTheme="majorHAnsi" w:eastAsiaTheme="majorEastAsia" w:hAnsiTheme="majorHAnsi" w:cstheme="majorBidi"/>
          <w:color w:val="1F3763" w:themeColor="accent1" w:themeShade="7F"/>
          <w:lang w:eastAsia="en-US"/>
        </w:rPr>
      </w:pPr>
      <w:r>
        <w:rPr>
          <w:rFonts w:asciiTheme="majorHAnsi" w:eastAsiaTheme="majorEastAsia" w:hAnsiTheme="majorHAnsi" w:cstheme="majorBidi"/>
          <w:color w:val="1F3763" w:themeColor="accent1" w:themeShade="7F"/>
          <w:lang w:eastAsia="en-US"/>
        </w:rPr>
        <w:t>2</w:t>
      </w:r>
      <w:r w:rsidR="002A0A46" w:rsidRPr="002A0A46">
        <w:rPr>
          <w:rFonts w:asciiTheme="majorHAnsi" w:eastAsiaTheme="majorEastAsia" w:hAnsiTheme="majorHAnsi" w:cstheme="majorBidi"/>
          <w:color w:val="1F3763" w:themeColor="accent1" w:themeShade="7F"/>
          <w:lang w:eastAsia="en-US"/>
        </w:rPr>
        <w:t>.2.1 Fase I Planeación y alistamiento</w:t>
      </w:r>
    </w:p>
    <w:p w:rsidR="002A0A46" w:rsidRPr="009958B1" w:rsidRDefault="002A0A46" w:rsidP="002A0A46">
      <w:pPr>
        <w:pStyle w:val="NormalWeb"/>
        <w:jc w:val="both"/>
        <w:rPr>
          <w:rFonts w:asciiTheme="minorHAnsi" w:eastAsiaTheme="majorEastAsia" w:hAnsiTheme="minorHAnsi" w:cstheme="minorHAnsi"/>
          <w:color w:val="000000" w:themeColor="text1"/>
          <w:sz w:val="22"/>
          <w:szCs w:val="22"/>
          <w:lang w:eastAsia="en-US"/>
        </w:rPr>
      </w:pPr>
      <w:r w:rsidRPr="009958B1">
        <w:rPr>
          <w:rFonts w:asciiTheme="minorHAnsi" w:eastAsiaTheme="majorEastAsia" w:hAnsiTheme="minorHAnsi" w:cstheme="minorHAnsi"/>
          <w:color w:val="000000" w:themeColor="text1"/>
          <w:sz w:val="22"/>
          <w:szCs w:val="22"/>
          <w:lang w:eastAsia="en-US"/>
        </w:rPr>
        <w:t>La fase de alistamiento, esencial para el éxito del contrato, debe comenzar inmediatamente tras su suscripción y extenderse hasta la firma del acta de inicio, asegurando así que todas las condiciones para la prestación del servicio estén plenamente garantizadas. Durante este periodo, se llevará a cabo el reconocimiento de parte del ejecutor de la infraestructura, áreas de almacenamiento y preparación de alimentos, así como de elementos como el menaje y equipamiento en las UPIS</w:t>
      </w:r>
      <w:r w:rsidR="009958B1">
        <w:rPr>
          <w:rFonts w:asciiTheme="minorHAnsi" w:eastAsiaTheme="majorEastAsia" w:hAnsiTheme="minorHAnsi" w:cstheme="minorHAnsi"/>
          <w:color w:val="000000" w:themeColor="text1"/>
          <w:sz w:val="22"/>
          <w:szCs w:val="22"/>
          <w:lang w:eastAsia="en-US"/>
        </w:rPr>
        <w:t xml:space="preserve"> y</w:t>
      </w:r>
      <w:r w:rsidRPr="009958B1">
        <w:rPr>
          <w:rFonts w:asciiTheme="minorHAnsi" w:eastAsiaTheme="majorEastAsia" w:hAnsiTheme="minorHAnsi" w:cstheme="minorHAnsi"/>
          <w:color w:val="000000" w:themeColor="text1"/>
          <w:sz w:val="22"/>
          <w:szCs w:val="22"/>
          <w:lang w:eastAsia="en-US"/>
        </w:rPr>
        <w:t xml:space="preserve"> UATs.</w:t>
      </w:r>
    </w:p>
    <w:p w:rsidR="002A0A46" w:rsidRPr="009958B1" w:rsidRDefault="002A0A46" w:rsidP="002A0A46">
      <w:pPr>
        <w:pStyle w:val="NormalWeb"/>
        <w:jc w:val="both"/>
        <w:rPr>
          <w:rFonts w:asciiTheme="minorHAnsi" w:eastAsiaTheme="majorEastAsia" w:hAnsiTheme="minorHAnsi" w:cstheme="minorHAnsi"/>
          <w:color w:val="000000" w:themeColor="text1"/>
          <w:sz w:val="22"/>
          <w:szCs w:val="22"/>
          <w:lang w:eastAsia="en-US"/>
        </w:rPr>
      </w:pPr>
      <w:r w:rsidRPr="009958B1">
        <w:rPr>
          <w:rFonts w:asciiTheme="minorHAnsi" w:eastAsiaTheme="majorEastAsia" w:hAnsiTheme="minorHAnsi" w:cstheme="minorHAnsi"/>
          <w:color w:val="000000" w:themeColor="text1"/>
          <w:sz w:val="22"/>
          <w:szCs w:val="22"/>
          <w:lang w:eastAsia="en-US"/>
        </w:rPr>
        <w:t xml:space="preserve">En esta etapa, el ejecutor elaborará el Plan de Alistamiento Técnico, </w:t>
      </w:r>
      <w:r w:rsidR="009958B1">
        <w:rPr>
          <w:rFonts w:asciiTheme="minorHAnsi" w:eastAsiaTheme="majorEastAsia" w:hAnsiTheme="minorHAnsi" w:cstheme="minorHAnsi"/>
          <w:color w:val="000000" w:themeColor="text1"/>
          <w:sz w:val="22"/>
          <w:szCs w:val="22"/>
          <w:lang w:eastAsia="en-US"/>
        </w:rPr>
        <w:t>s</w:t>
      </w:r>
      <w:r w:rsidRPr="009958B1">
        <w:rPr>
          <w:rFonts w:asciiTheme="minorHAnsi" w:eastAsiaTheme="majorEastAsia" w:hAnsiTheme="minorHAnsi" w:cstheme="minorHAnsi"/>
          <w:color w:val="000000" w:themeColor="text1"/>
          <w:sz w:val="22"/>
          <w:szCs w:val="22"/>
          <w:lang w:eastAsia="en-US"/>
        </w:rPr>
        <w:t>u objetivo principal es asegurar que todos los aspectos logísticos, operativos y de gestión estén debidamente preparados antes del inicio de la operación, minimizando riesgos y garantizando la continuidad del servicio.</w:t>
      </w:r>
    </w:p>
    <w:p w:rsidR="002A0A46" w:rsidRPr="009958B1" w:rsidRDefault="002A0A46" w:rsidP="002A0A46">
      <w:pPr>
        <w:pStyle w:val="NormalWeb"/>
        <w:jc w:val="both"/>
        <w:rPr>
          <w:rFonts w:asciiTheme="minorHAnsi" w:eastAsiaTheme="majorEastAsia" w:hAnsiTheme="minorHAnsi" w:cstheme="minorHAnsi"/>
          <w:color w:val="000000" w:themeColor="text1"/>
          <w:sz w:val="22"/>
          <w:szCs w:val="22"/>
          <w:lang w:eastAsia="en-US"/>
        </w:rPr>
      </w:pPr>
      <w:r w:rsidRPr="009958B1">
        <w:rPr>
          <w:rFonts w:asciiTheme="minorHAnsi" w:eastAsiaTheme="majorEastAsia" w:hAnsiTheme="minorHAnsi" w:cstheme="minorHAnsi"/>
          <w:color w:val="000000" w:themeColor="text1"/>
          <w:sz w:val="22"/>
          <w:szCs w:val="22"/>
          <w:lang w:eastAsia="en-US"/>
        </w:rPr>
        <w:t>De igual forma, el ejecutor estructurará el Plan de Control Sanitario, que incluirá protocolos de higiene y desinfección, manejo de residuos sólidos y gestión de plagas. Además, el ejecutor debe elaborar los protocolos de producción higiénica, el componente ambiental integral, el programa de gestión ambiental empresarial y las estrategias para la prevención de pérdida y desperdicio de alimentos.</w:t>
      </w:r>
    </w:p>
    <w:p w:rsidR="009E63D5" w:rsidRDefault="002A0A46" w:rsidP="00BA5313">
      <w:pPr>
        <w:pStyle w:val="NormalWeb"/>
        <w:jc w:val="both"/>
        <w:rPr>
          <w:rFonts w:asciiTheme="minorHAnsi" w:eastAsiaTheme="majorEastAsia" w:hAnsiTheme="minorHAnsi" w:cstheme="minorHAnsi"/>
          <w:color w:val="000000" w:themeColor="text1"/>
          <w:sz w:val="22"/>
          <w:szCs w:val="22"/>
          <w:lang w:eastAsia="en-US"/>
        </w:rPr>
      </w:pPr>
      <w:r w:rsidRPr="009958B1">
        <w:rPr>
          <w:rFonts w:asciiTheme="minorHAnsi" w:eastAsiaTheme="majorEastAsia" w:hAnsiTheme="minorHAnsi" w:cstheme="minorHAnsi"/>
          <w:color w:val="000000" w:themeColor="text1"/>
          <w:sz w:val="22"/>
          <w:szCs w:val="22"/>
          <w:lang w:eastAsia="en-US"/>
        </w:rPr>
        <w:t xml:space="preserve">Igualmente, el ejecutor gestionará la contratación de todo el talento humano, comprende la designación del coordinador general, supervisor operativo, líderes administrativos y de cocina, y manipuladores de alimentos, así como la implementación del sistema general de seguridad y salud en el trabajo (SGSST) y la estructuración del plan de capacitación del personal. </w:t>
      </w:r>
      <w:r w:rsidR="009958B1" w:rsidRPr="009958B1">
        <w:rPr>
          <w:rFonts w:asciiTheme="minorHAnsi" w:eastAsiaTheme="majorEastAsia" w:hAnsiTheme="minorHAnsi" w:cstheme="minorHAnsi"/>
          <w:color w:val="000000" w:themeColor="text1"/>
          <w:sz w:val="22"/>
          <w:szCs w:val="22"/>
          <w:lang w:eastAsia="en-US"/>
        </w:rPr>
        <w:t>Además,</w:t>
      </w:r>
      <w:r w:rsidRPr="009958B1">
        <w:rPr>
          <w:rFonts w:asciiTheme="minorHAnsi" w:eastAsiaTheme="majorEastAsia" w:hAnsiTheme="minorHAnsi" w:cstheme="minorHAnsi"/>
          <w:color w:val="000000" w:themeColor="text1"/>
          <w:sz w:val="22"/>
          <w:szCs w:val="22"/>
          <w:lang w:eastAsia="en-US"/>
        </w:rPr>
        <w:t xml:space="preserve"> el ejecutor deberá contar con los soportes de la adecuada selección de proveedores de insumos, los cuales deben cumplir con todos los parámetros normativos, priorizando a pequeños productores, garantizando la capacidad de entrega y </w:t>
      </w:r>
      <w:r w:rsidR="009958B1">
        <w:rPr>
          <w:rFonts w:asciiTheme="minorHAnsi" w:eastAsiaTheme="majorEastAsia" w:hAnsiTheme="minorHAnsi" w:cstheme="minorHAnsi"/>
          <w:color w:val="000000" w:themeColor="text1"/>
          <w:sz w:val="22"/>
          <w:szCs w:val="22"/>
          <w:lang w:eastAsia="en-US"/>
        </w:rPr>
        <w:t xml:space="preserve">ajustándose </w:t>
      </w:r>
      <w:r w:rsidRPr="009958B1">
        <w:rPr>
          <w:rFonts w:asciiTheme="minorHAnsi" w:eastAsiaTheme="majorEastAsia" w:hAnsiTheme="minorHAnsi" w:cstheme="minorHAnsi"/>
          <w:color w:val="000000" w:themeColor="text1"/>
          <w:sz w:val="22"/>
          <w:szCs w:val="22"/>
          <w:lang w:eastAsia="en-US"/>
        </w:rPr>
        <w:t>a los tipos de alimentos, también es fundamental en esta fase la elabora</w:t>
      </w:r>
      <w:r w:rsidR="009958B1">
        <w:rPr>
          <w:rFonts w:asciiTheme="minorHAnsi" w:eastAsiaTheme="majorEastAsia" w:hAnsiTheme="minorHAnsi" w:cstheme="minorHAnsi"/>
          <w:color w:val="000000" w:themeColor="text1"/>
          <w:sz w:val="22"/>
          <w:szCs w:val="22"/>
          <w:lang w:eastAsia="en-US"/>
        </w:rPr>
        <w:t>ción d</w:t>
      </w:r>
      <w:r w:rsidRPr="009958B1">
        <w:rPr>
          <w:rFonts w:asciiTheme="minorHAnsi" w:eastAsiaTheme="majorEastAsia" w:hAnsiTheme="minorHAnsi" w:cstheme="minorHAnsi"/>
          <w:color w:val="000000" w:themeColor="text1"/>
          <w:sz w:val="22"/>
          <w:szCs w:val="22"/>
          <w:lang w:eastAsia="en-US"/>
        </w:rPr>
        <w:t>el plan de movilización-transporte y entrega</w:t>
      </w:r>
      <w:r w:rsidR="009958B1">
        <w:rPr>
          <w:rFonts w:asciiTheme="minorHAnsi" w:eastAsiaTheme="majorEastAsia" w:hAnsiTheme="minorHAnsi" w:cstheme="minorHAnsi"/>
          <w:color w:val="000000" w:themeColor="text1"/>
          <w:sz w:val="22"/>
          <w:szCs w:val="22"/>
          <w:lang w:eastAsia="en-US"/>
        </w:rPr>
        <w:t xml:space="preserve"> de parte del ejecutor</w:t>
      </w:r>
      <w:r w:rsidRPr="009958B1">
        <w:rPr>
          <w:rFonts w:asciiTheme="minorHAnsi" w:eastAsiaTheme="majorEastAsia" w:hAnsiTheme="minorHAnsi" w:cstheme="minorHAnsi"/>
          <w:color w:val="000000" w:themeColor="text1"/>
          <w:sz w:val="22"/>
          <w:szCs w:val="22"/>
          <w:lang w:eastAsia="en-US"/>
        </w:rPr>
        <w:t xml:space="preserve">, y de manera fundamental el desarrollo de la semana de alistamiento en cada uno de los puntos de ejecución del contrato. </w:t>
      </w:r>
    </w:p>
    <w:p w:rsidR="009E63D5" w:rsidRDefault="00735BE2" w:rsidP="009E63D5">
      <w:pPr>
        <w:pStyle w:val="NormalWeb"/>
        <w:jc w:val="both"/>
        <w:rPr>
          <w:rFonts w:asciiTheme="majorHAnsi" w:eastAsiaTheme="majorEastAsia" w:hAnsiTheme="majorHAnsi" w:cstheme="majorBidi"/>
          <w:color w:val="1F3763" w:themeColor="accent1" w:themeShade="7F"/>
          <w:lang w:eastAsia="en-US"/>
        </w:rPr>
      </w:pPr>
      <w:r>
        <w:rPr>
          <w:rFonts w:asciiTheme="majorHAnsi" w:eastAsiaTheme="majorEastAsia" w:hAnsiTheme="majorHAnsi" w:cstheme="majorBidi"/>
          <w:color w:val="1F3763" w:themeColor="accent1" w:themeShade="7F"/>
          <w:lang w:eastAsia="en-US"/>
        </w:rPr>
        <w:t>2</w:t>
      </w:r>
      <w:r w:rsidR="009958B1" w:rsidRPr="002A0A46">
        <w:rPr>
          <w:rFonts w:asciiTheme="majorHAnsi" w:eastAsiaTheme="majorEastAsia" w:hAnsiTheme="majorHAnsi" w:cstheme="majorBidi"/>
          <w:color w:val="1F3763" w:themeColor="accent1" w:themeShade="7F"/>
          <w:lang w:eastAsia="en-US"/>
        </w:rPr>
        <w:t>.2.</w:t>
      </w:r>
      <w:r w:rsidR="009958B1">
        <w:rPr>
          <w:rFonts w:asciiTheme="majorHAnsi" w:eastAsiaTheme="majorEastAsia" w:hAnsiTheme="majorHAnsi" w:cstheme="majorBidi"/>
          <w:color w:val="1F3763" w:themeColor="accent1" w:themeShade="7F"/>
          <w:lang w:eastAsia="en-US"/>
        </w:rPr>
        <w:t xml:space="preserve">2 </w:t>
      </w:r>
      <w:r w:rsidR="009958B1" w:rsidRPr="002A0A46">
        <w:rPr>
          <w:rFonts w:asciiTheme="majorHAnsi" w:eastAsiaTheme="majorEastAsia" w:hAnsiTheme="majorHAnsi" w:cstheme="majorBidi"/>
          <w:color w:val="1F3763" w:themeColor="accent1" w:themeShade="7F"/>
          <w:lang w:eastAsia="en-US"/>
        </w:rPr>
        <w:t>Fase I</w:t>
      </w:r>
      <w:r w:rsidR="009958B1">
        <w:rPr>
          <w:rFonts w:asciiTheme="majorHAnsi" w:eastAsiaTheme="majorEastAsia" w:hAnsiTheme="majorHAnsi" w:cstheme="majorBidi"/>
          <w:color w:val="1F3763" w:themeColor="accent1" w:themeShade="7F"/>
          <w:lang w:eastAsia="en-US"/>
        </w:rPr>
        <w:t xml:space="preserve">I </w:t>
      </w:r>
      <w:r w:rsidR="00D738B5">
        <w:rPr>
          <w:rFonts w:asciiTheme="majorHAnsi" w:eastAsiaTheme="majorEastAsia" w:hAnsiTheme="majorHAnsi" w:cstheme="majorBidi"/>
          <w:color w:val="1F3763" w:themeColor="accent1" w:themeShade="7F"/>
          <w:lang w:eastAsia="en-US"/>
        </w:rPr>
        <w:t>de Ejecución</w:t>
      </w:r>
    </w:p>
    <w:p w:rsidR="00D738B5" w:rsidRPr="009E63D5" w:rsidRDefault="00D738B5" w:rsidP="009E63D5">
      <w:pPr>
        <w:pStyle w:val="NormalWeb"/>
        <w:jc w:val="both"/>
        <w:rPr>
          <w:rFonts w:asciiTheme="majorHAnsi" w:eastAsiaTheme="majorEastAsia" w:hAnsiTheme="majorHAnsi" w:cstheme="majorBidi"/>
          <w:color w:val="1F3763" w:themeColor="accent1" w:themeShade="7F"/>
          <w:lang w:eastAsia="en-US"/>
        </w:rPr>
      </w:pPr>
      <w:r w:rsidRPr="00D738B5">
        <w:rPr>
          <w:rFonts w:asciiTheme="minorHAnsi" w:eastAsiaTheme="majorEastAsia" w:hAnsiTheme="minorHAnsi" w:cstheme="minorHAnsi"/>
          <w:color w:val="000000" w:themeColor="text1"/>
          <w:szCs w:val="22"/>
        </w:rPr>
        <w:t>En esta etapa, el ejecutor materializará todas las actividades de planeación y alistamiento previas, asegurando la entrega efectiva y de alta calidad del servicio de alimentación a la población beneficiaria. El ejecutor abarcará un conjunto integral de procesos y procedimientos que garantizan la correcta gestión de la cadena de suministro, desde la compra y adquisición de alimentos hasta el servicio de comidas. El ejecutor implementará rigurosos controles de calidad en todas las etapas, incluyendo la recepción, almacenamiento, preparación y distribución de alimentos. El ejecutor prestará especial atención al cumplimiento de las minutas y los requerimientos nutricionales, así como a la adaptación de los menús a las necesidades y preferencias de la población atendida.</w:t>
      </w:r>
    </w:p>
    <w:p w:rsidR="00D738B5" w:rsidRPr="00D738B5" w:rsidRDefault="00D738B5" w:rsidP="00D738B5">
      <w:pPr>
        <w:jc w:val="both"/>
        <w:rPr>
          <w:rFonts w:eastAsiaTheme="majorEastAsia" w:cstheme="minorHAnsi"/>
          <w:color w:val="000000" w:themeColor="text1"/>
        </w:rPr>
      </w:pPr>
      <w:r w:rsidRPr="00D738B5">
        <w:rPr>
          <w:rFonts w:eastAsiaTheme="majorEastAsia" w:cstheme="minorHAnsi"/>
          <w:color w:val="000000" w:themeColor="text1"/>
        </w:rPr>
        <w:t>El ejecutor optimizará la logística de distribución para garantizar la entrega oportuna y en condiciones óptimas de los alimentos, tanto en las UPIS y UATs como en las actividades territoriales. El ejecutor implementará protocolos de higiene y seguridad alimentaria en todas las áreas de trabajo, y el ejecutor realizará análisis de laboratorio para verificar la calidad de los alimentos.</w:t>
      </w:r>
    </w:p>
    <w:p w:rsidR="009E63D5" w:rsidRPr="00D738B5" w:rsidRDefault="00D738B5" w:rsidP="00D738B5">
      <w:pPr>
        <w:jc w:val="both"/>
        <w:rPr>
          <w:rFonts w:eastAsiaTheme="majorEastAsia" w:cstheme="minorHAnsi"/>
          <w:color w:val="000000" w:themeColor="text1"/>
        </w:rPr>
      </w:pPr>
      <w:r w:rsidRPr="00D738B5">
        <w:rPr>
          <w:rFonts w:eastAsiaTheme="majorEastAsia" w:cstheme="minorHAnsi"/>
          <w:color w:val="000000" w:themeColor="text1"/>
        </w:rPr>
        <w:t>Además, el ejecutor llevará a cabo actividades de aseo y alistamiento para asegurar la continuidad del servicio, y el ejecutor establecerá mecanismos de control y registro para monitorear el cumplimiento de los indicadores de desempeño. La correcta ejecución de esta fase es crucial para garantizar la satisfacción de la población beneficiaria y el cumplimiento de los objetivos del contrato, siendo esta responsabilidad directa del ejecutor.</w:t>
      </w:r>
    </w:p>
    <w:p w:rsidR="00CB3798" w:rsidRDefault="00735BE2" w:rsidP="00CB3798">
      <w:pPr>
        <w:pStyle w:val="NormalWeb"/>
        <w:jc w:val="both"/>
        <w:rPr>
          <w:rFonts w:asciiTheme="majorHAnsi" w:eastAsiaTheme="majorEastAsia" w:hAnsiTheme="majorHAnsi" w:cstheme="majorBidi"/>
          <w:color w:val="1F3763" w:themeColor="accent1" w:themeShade="7F"/>
          <w:lang w:eastAsia="en-US"/>
        </w:rPr>
      </w:pPr>
      <w:r>
        <w:rPr>
          <w:rFonts w:asciiTheme="majorHAnsi" w:eastAsiaTheme="majorEastAsia" w:hAnsiTheme="majorHAnsi" w:cstheme="majorBidi"/>
          <w:color w:val="1F3763" w:themeColor="accent1" w:themeShade="7F"/>
          <w:lang w:eastAsia="en-US"/>
        </w:rPr>
        <w:t>2</w:t>
      </w:r>
      <w:r w:rsidR="00CB3798" w:rsidRPr="002A0A46">
        <w:rPr>
          <w:rFonts w:asciiTheme="majorHAnsi" w:eastAsiaTheme="majorEastAsia" w:hAnsiTheme="majorHAnsi" w:cstheme="majorBidi"/>
          <w:color w:val="1F3763" w:themeColor="accent1" w:themeShade="7F"/>
          <w:lang w:eastAsia="en-US"/>
        </w:rPr>
        <w:t>.2.</w:t>
      </w:r>
      <w:r w:rsidR="00CB3798">
        <w:rPr>
          <w:rFonts w:asciiTheme="majorHAnsi" w:eastAsiaTheme="majorEastAsia" w:hAnsiTheme="majorHAnsi" w:cstheme="majorBidi"/>
          <w:color w:val="1F3763" w:themeColor="accent1" w:themeShade="7F"/>
          <w:lang w:eastAsia="en-US"/>
        </w:rPr>
        <w:t xml:space="preserve">3 </w:t>
      </w:r>
      <w:r w:rsidR="00CB3798" w:rsidRPr="002A0A46">
        <w:rPr>
          <w:rFonts w:asciiTheme="majorHAnsi" w:eastAsiaTheme="majorEastAsia" w:hAnsiTheme="majorHAnsi" w:cstheme="majorBidi"/>
          <w:color w:val="1F3763" w:themeColor="accent1" w:themeShade="7F"/>
          <w:lang w:eastAsia="en-US"/>
        </w:rPr>
        <w:t>Fase I</w:t>
      </w:r>
      <w:r w:rsidR="00CB3798">
        <w:rPr>
          <w:rFonts w:asciiTheme="majorHAnsi" w:eastAsiaTheme="majorEastAsia" w:hAnsiTheme="majorHAnsi" w:cstheme="majorBidi"/>
          <w:color w:val="1F3763" w:themeColor="accent1" w:themeShade="7F"/>
          <w:lang w:eastAsia="en-US"/>
        </w:rPr>
        <w:t>I de Administrativa</w:t>
      </w:r>
    </w:p>
    <w:p w:rsidR="009E63D5" w:rsidRPr="00CB3798" w:rsidRDefault="00CB3798" w:rsidP="00CB3798">
      <w:pPr>
        <w:pStyle w:val="NormalWeb"/>
        <w:jc w:val="both"/>
        <w:rPr>
          <w:rFonts w:asciiTheme="minorHAnsi" w:eastAsiaTheme="majorEastAsia" w:hAnsiTheme="minorHAnsi" w:cstheme="minorHAnsi"/>
          <w:color w:val="000000" w:themeColor="text1"/>
          <w:sz w:val="22"/>
          <w:szCs w:val="22"/>
          <w:lang w:eastAsia="en-US"/>
        </w:rPr>
      </w:pPr>
      <w:r w:rsidRPr="00CB3798">
        <w:rPr>
          <w:rFonts w:asciiTheme="minorHAnsi" w:eastAsiaTheme="majorEastAsia" w:hAnsiTheme="minorHAnsi" w:cstheme="minorHAnsi"/>
          <w:color w:val="000000" w:themeColor="text1"/>
          <w:sz w:val="22"/>
          <w:szCs w:val="22"/>
          <w:lang w:eastAsia="en-US"/>
        </w:rPr>
        <w:t xml:space="preserve">La </w:t>
      </w:r>
      <w:r w:rsidRPr="00CB3798">
        <w:rPr>
          <w:rFonts w:asciiTheme="minorHAnsi" w:eastAsiaTheme="majorEastAsia" w:hAnsiTheme="minorHAnsi" w:cstheme="minorHAnsi"/>
          <w:bCs/>
          <w:color w:val="000000" w:themeColor="text1"/>
          <w:sz w:val="22"/>
          <w:szCs w:val="22"/>
          <w:lang w:eastAsia="en-US"/>
        </w:rPr>
        <w:t xml:space="preserve">Fase III </w:t>
      </w:r>
      <w:r w:rsidRPr="00CB3798">
        <w:rPr>
          <w:rFonts w:asciiTheme="minorHAnsi" w:eastAsiaTheme="majorEastAsia" w:hAnsiTheme="minorHAnsi" w:cstheme="minorHAnsi"/>
          <w:color w:val="000000" w:themeColor="text1"/>
          <w:sz w:val="22"/>
          <w:szCs w:val="22"/>
          <w:lang w:eastAsia="en-US"/>
        </w:rPr>
        <w:t xml:space="preserve">se centra en las actividades de </w:t>
      </w:r>
      <w:r w:rsidRPr="00CB3798">
        <w:rPr>
          <w:rFonts w:asciiTheme="minorHAnsi" w:eastAsiaTheme="majorEastAsia" w:hAnsiTheme="minorHAnsi" w:cstheme="minorHAnsi"/>
          <w:bCs/>
          <w:color w:val="000000" w:themeColor="text1"/>
          <w:sz w:val="22"/>
          <w:szCs w:val="22"/>
          <w:lang w:eastAsia="en-US"/>
        </w:rPr>
        <w:t>registro, documentación y generación de informes</w:t>
      </w:r>
      <w:r w:rsidRPr="00CB3798">
        <w:rPr>
          <w:rFonts w:asciiTheme="minorHAnsi" w:eastAsiaTheme="majorEastAsia" w:hAnsiTheme="minorHAnsi" w:cstheme="minorHAnsi"/>
          <w:color w:val="000000" w:themeColor="text1"/>
          <w:sz w:val="22"/>
          <w:szCs w:val="22"/>
          <w:lang w:eastAsia="en-US"/>
        </w:rPr>
        <w:t xml:space="preserve"> necesarias para llevar un control exhaustivo de la ejecución del contrato y garantizar la transparencia en la gestión del servicio de alimentación. Esta fase es crucial para el seguimiento financiero, la rendición de cuentas y la evaluación del desempeño del operador logístico.</w:t>
      </w:r>
    </w:p>
    <w:p w:rsidR="00D738B5" w:rsidRDefault="00735BE2" w:rsidP="00BA5313">
      <w:pPr>
        <w:pStyle w:val="NormalWeb"/>
        <w:jc w:val="both"/>
        <w:rPr>
          <w:rFonts w:asciiTheme="majorHAnsi" w:eastAsiaTheme="majorEastAsia" w:hAnsiTheme="majorHAnsi" w:cstheme="majorBidi"/>
          <w:color w:val="1F3763" w:themeColor="accent1" w:themeShade="7F"/>
          <w:lang w:eastAsia="en-US"/>
        </w:rPr>
      </w:pPr>
      <w:r>
        <w:rPr>
          <w:rFonts w:asciiTheme="majorHAnsi" w:eastAsiaTheme="majorEastAsia" w:hAnsiTheme="majorHAnsi" w:cstheme="majorBidi"/>
          <w:color w:val="1F3763" w:themeColor="accent1" w:themeShade="7F"/>
          <w:lang w:eastAsia="en-US"/>
        </w:rPr>
        <w:t>2</w:t>
      </w:r>
      <w:r w:rsidR="00CB3798" w:rsidRPr="00CB3798">
        <w:rPr>
          <w:rFonts w:asciiTheme="majorHAnsi" w:eastAsiaTheme="majorEastAsia" w:hAnsiTheme="majorHAnsi" w:cstheme="majorBidi"/>
          <w:color w:val="1F3763" w:themeColor="accent1" w:themeShade="7F"/>
          <w:lang w:eastAsia="en-US"/>
        </w:rPr>
        <w:t>.2.4</w:t>
      </w:r>
      <w:r w:rsidR="00CB3798">
        <w:rPr>
          <w:rFonts w:asciiTheme="majorHAnsi" w:eastAsiaTheme="majorEastAsia" w:hAnsiTheme="majorHAnsi" w:cstheme="majorBidi"/>
          <w:color w:val="1F3763" w:themeColor="accent1" w:themeShade="7F"/>
          <w:lang w:eastAsia="en-US"/>
        </w:rPr>
        <w:t xml:space="preserve"> Calidad seguimiento y monitoreo</w:t>
      </w:r>
    </w:p>
    <w:p w:rsidR="00CB3798" w:rsidRPr="00CB3798" w:rsidRDefault="00CB3798" w:rsidP="00CB3798">
      <w:pPr>
        <w:jc w:val="both"/>
        <w:rPr>
          <w:rFonts w:eastAsiaTheme="majorEastAsia" w:cstheme="minorHAnsi"/>
          <w:color w:val="000000" w:themeColor="text1"/>
        </w:rPr>
      </w:pPr>
      <w:r w:rsidRPr="00CB3798">
        <w:rPr>
          <w:rFonts w:eastAsiaTheme="majorEastAsia" w:cstheme="minorHAnsi"/>
          <w:color w:val="000000" w:themeColor="text1"/>
        </w:rPr>
        <w:t xml:space="preserve">El control de calidad es un proceso continuo y riguroso que abarca todas las etapas del servicio, desde la selección de proveedores hasta la entrega de las comidas. En este sentido, el ejecutor del contrato deberá implementar un sistema de control integral que garantice la seguridad alimentaria, la calidad nutricional y la satisfacción de la población atendida, realizando los respectivos ajustes necesarios en cada una de las fases del contrato. </w:t>
      </w:r>
    </w:p>
    <w:p w:rsidR="009958B1" w:rsidRDefault="00CB3798" w:rsidP="00CB3798">
      <w:pPr>
        <w:jc w:val="both"/>
        <w:rPr>
          <w:rFonts w:eastAsiaTheme="majorEastAsia" w:cstheme="minorHAnsi"/>
          <w:color w:val="000000" w:themeColor="text1"/>
        </w:rPr>
      </w:pPr>
      <w:r w:rsidRPr="00CB3798">
        <w:rPr>
          <w:rFonts w:eastAsiaTheme="majorEastAsia" w:cstheme="minorHAnsi"/>
          <w:color w:val="000000" w:themeColor="text1"/>
        </w:rPr>
        <w:t>El IDIPRON realizará una supervisión y control continuo de la preparación de los alimentos en los puntos de entrega, para verificar el cumplimiento de los requisitos de calidad, higiene y seguridad alimentaria. Se realizarán auditorías y pruebas de calidad de manera regular incluyendo pruebas de laboratorio. Igualmente, el IDIPRON realizará un seguimiento continuo de la satisfacción de los beneficiarios, recogiendo sus opiniones y sugerencias para mejorar la calidad del servicio</w:t>
      </w:r>
      <w:r>
        <w:rPr>
          <w:rFonts w:eastAsiaTheme="majorEastAsia" w:cstheme="minorHAnsi"/>
          <w:color w:val="000000" w:themeColor="text1"/>
        </w:rPr>
        <w:t>.</w:t>
      </w:r>
    </w:p>
    <w:p w:rsidR="009E63D5" w:rsidRPr="009958B1" w:rsidRDefault="009E63D5" w:rsidP="00CB3798">
      <w:pPr>
        <w:jc w:val="both"/>
        <w:rPr>
          <w:rFonts w:eastAsiaTheme="majorEastAsia" w:cstheme="minorHAnsi"/>
          <w:color w:val="000000" w:themeColor="text1"/>
        </w:rPr>
      </w:pPr>
    </w:p>
    <w:p w:rsidR="00BA5313" w:rsidRPr="00E7672A" w:rsidRDefault="00735BE2" w:rsidP="002A0A46">
      <w:pPr>
        <w:pStyle w:val="Ttulo2"/>
        <w:shd w:val="clear" w:color="auto" w:fill="A6A6A6" w:themeFill="background1" w:themeFillShade="A6"/>
        <w:rPr>
          <w:b/>
          <w:color w:val="FFFFFF" w:themeColor="background1"/>
        </w:rPr>
      </w:pPr>
      <w:bookmarkStart w:id="15" w:name="_Toc195633227"/>
      <w:r>
        <w:rPr>
          <w:b/>
          <w:color w:val="FFFFFF" w:themeColor="background1"/>
        </w:rPr>
        <w:t xml:space="preserve">2.3 </w:t>
      </w:r>
      <w:r w:rsidR="00BA5313" w:rsidRPr="00E7672A">
        <w:rPr>
          <w:b/>
          <w:color w:val="FFFFFF" w:themeColor="background1"/>
        </w:rPr>
        <w:t>Justificación de la Estructura en Cuatro Fases</w:t>
      </w:r>
      <w:bookmarkEnd w:id="15"/>
    </w:p>
    <w:p w:rsidR="00BA5313" w:rsidRPr="009958B1" w:rsidRDefault="00BA5313" w:rsidP="00BA5313">
      <w:pPr>
        <w:pStyle w:val="NormalWeb"/>
        <w:jc w:val="both"/>
        <w:rPr>
          <w:rFonts w:asciiTheme="minorHAnsi" w:eastAsiaTheme="minorHAnsi" w:hAnsiTheme="minorHAnsi" w:cstheme="minorBidi"/>
          <w:color w:val="000000" w:themeColor="text1"/>
          <w:sz w:val="22"/>
          <w:szCs w:val="22"/>
          <w:lang w:eastAsia="en-US"/>
        </w:rPr>
      </w:pPr>
      <w:r w:rsidRPr="009958B1">
        <w:rPr>
          <w:rFonts w:asciiTheme="minorHAnsi" w:eastAsiaTheme="minorHAnsi" w:hAnsiTheme="minorHAnsi" w:cstheme="minorBidi"/>
          <w:color w:val="000000" w:themeColor="text1"/>
          <w:sz w:val="22"/>
          <w:szCs w:val="22"/>
          <w:lang w:eastAsia="en-US"/>
        </w:rPr>
        <w:t xml:space="preserve">La división en fases permite una </w:t>
      </w:r>
      <w:r w:rsidRPr="009958B1">
        <w:rPr>
          <w:rFonts w:asciiTheme="minorHAnsi" w:eastAsiaTheme="minorHAnsi" w:hAnsiTheme="minorHAnsi" w:cstheme="minorBidi"/>
          <w:bCs/>
          <w:color w:val="000000" w:themeColor="text1"/>
          <w:sz w:val="22"/>
          <w:szCs w:val="22"/>
          <w:lang w:eastAsia="en-US"/>
        </w:rPr>
        <w:t>progresión lógica y organizada</w:t>
      </w:r>
      <w:r w:rsidRPr="009958B1">
        <w:rPr>
          <w:rFonts w:asciiTheme="minorHAnsi" w:eastAsiaTheme="minorHAnsi" w:hAnsiTheme="minorHAnsi" w:cstheme="minorBidi"/>
          <w:color w:val="000000" w:themeColor="text1"/>
          <w:sz w:val="22"/>
          <w:szCs w:val="22"/>
          <w:lang w:eastAsia="en-US"/>
        </w:rPr>
        <w:t xml:space="preserve"> de las actividades. La Fase I sienta las bases y prepara el terreno para una ejecución exitosa, asegurando que todos los elementos cruciales (infraestructura, protocolos, proveedores) estén definidos antes de iniciar la operación. Esto </w:t>
      </w:r>
      <w:r w:rsidRPr="009958B1">
        <w:rPr>
          <w:rFonts w:asciiTheme="minorHAnsi" w:eastAsiaTheme="minorHAnsi" w:hAnsiTheme="minorHAnsi" w:cstheme="minorBidi"/>
          <w:bCs/>
          <w:color w:val="000000" w:themeColor="text1"/>
          <w:sz w:val="22"/>
          <w:szCs w:val="22"/>
          <w:lang w:eastAsia="en-US"/>
        </w:rPr>
        <w:t>minimiza los riesgos y optimiza los recursos</w:t>
      </w:r>
      <w:r w:rsidRPr="009958B1">
        <w:rPr>
          <w:rFonts w:asciiTheme="minorHAnsi" w:eastAsiaTheme="minorHAnsi" w:hAnsiTheme="minorHAnsi" w:cstheme="minorBidi"/>
          <w:color w:val="000000" w:themeColor="text1"/>
          <w:sz w:val="22"/>
          <w:szCs w:val="22"/>
          <w:lang w:eastAsia="en-US"/>
        </w:rPr>
        <w:t xml:space="preserve"> desde el inicio.</w:t>
      </w:r>
    </w:p>
    <w:p w:rsidR="00BA5313" w:rsidRPr="009958B1" w:rsidRDefault="00BA5313" w:rsidP="00BA5313">
      <w:pPr>
        <w:pStyle w:val="NormalWeb"/>
        <w:jc w:val="both"/>
        <w:rPr>
          <w:rFonts w:asciiTheme="minorHAnsi" w:eastAsiaTheme="minorHAnsi" w:hAnsiTheme="minorHAnsi" w:cstheme="minorBidi"/>
          <w:color w:val="000000" w:themeColor="text1"/>
          <w:sz w:val="22"/>
          <w:szCs w:val="22"/>
          <w:lang w:eastAsia="en-US"/>
        </w:rPr>
      </w:pPr>
      <w:r w:rsidRPr="009958B1">
        <w:rPr>
          <w:rFonts w:asciiTheme="minorHAnsi" w:eastAsiaTheme="minorHAnsi" w:hAnsiTheme="minorHAnsi" w:cstheme="minorBidi"/>
          <w:bCs/>
          <w:color w:val="000000" w:themeColor="text1"/>
          <w:sz w:val="22"/>
          <w:szCs w:val="22"/>
          <w:lang w:eastAsia="en-US"/>
        </w:rPr>
        <w:t xml:space="preserve">Es así que, </w:t>
      </w:r>
      <w:r w:rsidRPr="009958B1">
        <w:rPr>
          <w:rFonts w:asciiTheme="minorHAnsi" w:eastAsiaTheme="minorHAnsi" w:hAnsiTheme="minorHAnsi" w:cstheme="minorBidi"/>
          <w:color w:val="000000" w:themeColor="text1"/>
          <w:sz w:val="22"/>
          <w:szCs w:val="22"/>
          <w:lang w:eastAsia="en-US"/>
        </w:rPr>
        <w:t xml:space="preserve">cada fase se enfoca en un conjunto específico de tareas y objetivos. Esto permite una </w:t>
      </w:r>
      <w:r w:rsidRPr="009958B1">
        <w:rPr>
          <w:rFonts w:asciiTheme="minorHAnsi" w:eastAsiaTheme="minorHAnsi" w:hAnsiTheme="minorHAnsi" w:cstheme="minorBidi"/>
          <w:bCs/>
          <w:color w:val="000000" w:themeColor="text1"/>
          <w:sz w:val="22"/>
          <w:szCs w:val="22"/>
          <w:lang w:eastAsia="en-US"/>
        </w:rPr>
        <w:t>mejor gestión y supervisión</w:t>
      </w:r>
      <w:r w:rsidRPr="009958B1">
        <w:rPr>
          <w:rFonts w:asciiTheme="minorHAnsi" w:eastAsiaTheme="minorHAnsi" w:hAnsiTheme="minorHAnsi" w:cstheme="minorBidi"/>
          <w:color w:val="000000" w:themeColor="text1"/>
          <w:sz w:val="22"/>
          <w:szCs w:val="22"/>
          <w:lang w:eastAsia="en-US"/>
        </w:rPr>
        <w:t xml:space="preserve"> al concentrar la atención en las actividades críticas de cada momento. Por ejemplo, la Fase II se centra exclusivamente en la operación del servicio, mientras que la Fase III se dedica a los aspectos administrativos y de documentación necesarios para el control y la rendición de cuentas y la fase IV a seguimiento. </w:t>
      </w:r>
    </w:p>
    <w:p w:rsidR="00BA5313" w:rsidRPr="009958B1" w:rsidRDefault="00BA5313" w:rsidP="00BA5313">
      <w:pPr>
        <w:pStyle w:val="NormalWeb"/>
        <w:jc w:val="both"/>
        <w:rPr>
          <w:rFonts w:asciiTheme="minorHAnsi" w:eastAsiaTheme="minorHAnsi" w:hAnsiTheme="minorHAnsi" w:cstheme="minorBidi"/>
          <w:color w:val="000000" w:themeColor="text1"/>
          <w:sz w:val="22"/>
          <w:szCs w:val="22"/>
          <w:lang w:eastAsia="en-US"/>
        </w:rPr>
      </w:pPr>
      <w:r w:rsidRPr="009958B1">
        <w:rPr>
          <w:rFonts w:asciiTheme="minorHAnsi" w:eastAsiaTheme="minorHAnsi" w:hAnsiTheme="minorHAnsi" w:cstheme="minorBidi"/>
          <w:color w:val="000000" w:themeColor="text1"/>
          <w:sz w:val="22"/>
          <w:szCs w:val="22"/>
          <w:lang w:eastAsia="en-US"/>
        </w:rPr>
        <w:t xml:space="preserve">Si bien las fases son distintas, están intrínsecamente ligadas. La información y los resultados de una fase alimentan la siguiente. Esta estructura </w:t>
      </w:r>
      <w:r w:rsidRPr="009958B1">
        <w:rPr>
          <w:rFonts w:asciiTheme="minorHAnsi" w:eastAsiaTheme="minorHAnsi" w:hAnsiTheme="minorHAnsi" w:cstheme="minorBidi"/>
          <w:bCs/>
          <w:color w:val="000000" w:themeColor="text1"/>
          <w:sz w:val="22"/>
          <w:szCs w:val="22"/>
          <w:lang w:eastAsia="en-US"/>
        </w:rPr>
        <w:t>facilita la comunicación y la coordinación</w:t>
      </w:r>
      <w:r w:rsidRPr="009958B1">
        <w:rPr>
          <w:rFonts w:asciiTheme="minorHAnsi" w:eastAsiaTheme="minorHAnsi" w:hAnsiTheme="minorHAnsi" w:cstheme="minorBidi"/>
          <w:color w:val="000000" w:themeColor="text1"/>
          <w:sz w:val="22"/>
          <w:szCs w:val="22"/>
          <w:lang w:eastAsia="en-US"/>
        </w:rPr>
        <w:t xml:space="preserve"> entre el IDIPRON y el operador logístico, asegurando una transición fluida entre las etapas y una visión integral del proceso.</w:t>
      </w:r>
    </w:p>
    <w:p w:rsidR="00BA5313" w:rsidRPr="009958B1" w:rsidRDefault="00BA5313" w:rsidP="00BA5313">
      <w:pPr>
        <w:pStyle w:val="NormalWeb"/>
        <w:jc w:val="both"/>
        <w:rPr>
          <w:rFonts w:asciiTheme="minorHAnsi" w:eastAsiaTheme="minorHAnsi" w:hAnsiTheme="minorHAnsi" w:cstheme="minorBidi"/>
          <w:color w:val="000000" w:themeColor="text1"/>
          <w:sz w:val="22"/>
          <w:szCs w:val="22"/>
          <w:lang w:eastAsia="en-US"/>
        </w:rPr>
      </w:pPr>
      <w:r w:rsidRPr="009958B1">
        <w:rPr>
          <w:rFonts w:asciiTheme="minorHAnsi" w:eastAsiaTheme="minorHAnsi" w:hAnsiTheme="minorHAnsi" w:cstheme="minorBidi"/>
          <w:bCs/>
          <w:color w:val="000000" w:themeColor="text1"/>
          <w:sz w:val="22"/>
          <w:szCs w:val="22"/>
          <w:lang w:eastAsia="en-US"/>
        </w:rPr>
        <w:t xml:space="preserve">De esta manera se garantiza la Implementación </w:t>
      </w:r>
      <w:r w:rsidR="002A0A46" w:rsidRPr="009958B1">
        <w:rPr>
          <w:rFonts w:asciiTheme="minorHAnsi" w:eastAsiaTheme="minorHAnsi" w:hAnsiTheme="minorHAnsi" w:cstheme="minorBidi"/>
          <w:bCs/>
          <w:color w:val="000000" w:themeColor="text1"/>
          <w:sz w:val="22"/>
          <w:szCs w:val="22"/>
          <w:lang w:eastAsia="en-US"/>
        </w:rPr>
        <w:t>g</w:t>
      </w:r>
      <w:r w:rsidRPr="009958B1">
        <w:rPr>
          <w:rFonts w:asciiTheme="minorHAnsi" w:eastAsiaTheme="minorHAnsi" w:hAnsiTheme="minorHAnsi" w:cstheme="minorBidi"/>
          <w:bCs/>
          <w:color w:val="000000" w:themeColor="text1"/>
          <w:sz w:val="22"/>
          <w:szCs w:val="22"/>
          <w:lang w:eastAsia="en-US"/>
        </w:rPr>
        <w:t xml:space="preserve">radual y </w:t>
      </w:r>
      <w:r w:rsidR="002A0A46" w:rsidRPr="009958B1">
        <w:rPr>
          <w:rFonts w:asciiTheme="minorHAnsi" w:eastAsiaTheme="minorHAnsi" w:hAnsiTheme="minorHAnsi" w:cstheme="minorBidi"/>
          <w:bCs/>
          <w:color w:val="000000" w:themeColor="text1"/>
          <w:sz w:val="22"/>
          <w:szCs w:val="22"/>
          <w:lang w:eastAsia="en-US"/>
        </w:rPr>
        <w:t>c</w:t>
      </w:r>
      <w:r w:rsidRPr="009958B1">
        <w:rPr>
          <w:rFonts w:asciiTheme="minorHAnsi" w:eastAsiaTheme="minorHAnsi" w:hAnsiTheme="minorHAnsi" w:cstheme="minorBidi"/>
          <w:bCs/>
          <w:color w:val="000000" w:themeColor="text1"/>
          <w:sz w:val="22"/>
          <w:szCs w:val="22"/>
          <w:lang w:eastAsia="en-US"/>
        </w:rPr>
        <w:t xml:space="preserve">ontrolada </w:t>
      </w:r>
      <w:r w:rsidRPr="009958B1">
        <w:rPr>
          <w:rFonts w:asciiTheme="minorHAnsi" w:eastAsiaTheme="minorHAnsi" w:hAnsiTheme="minorHAnsi" w:cstheme="minorBidi"/>
          <w:color w:val="000000" w:themeColor="text1"/>
          <w:sz w:val="22"/>
          <w:szCs w:val="22"/>
          <w:lang w:eastAsia="en-US"/>
        </w:rPr>
        <w:t>de la nueva modalidad. La fase de alistamiento es crucial para identificar y resolver posibles obstáculos antes de la puesta en marcha a gran escala, lo que reduce la probabilidad de errores y asegura una operación más estable.</w:t>
      </w:r>
    </w:p>
    <w:p w:rsidR="00BA5313" w:rsidRPr="00E7672A" w:rsidRDefault="00735BE2" w:rsidP="001910DE">
      <w:pPr>
        <w:pStyle w:val="Ttulo2"/>
        <w:shd w:val="clear" w:color="auto" w:fill="A6A6A6" w:themeFill="background1" w:themeFillShade="A6"/>
        <w:rPr>
          <w:b/>
          <w:color w:val="FFFFFF" w:themeColor="background1"/>
        </w:rPr>
      </w:pPr>
      <w:bookmarkStart w:id="16" w:name="_Toc195633228"/>
      <w:r>
        <w:rPr>
          <w:b/>
          <w:color w:val="FFFFFF" w:themeColor="background1"/>
        </w:rPr>
        <w:t xml:space="preserve">2.4 </w:t>
      </w:r>
      <w:r w:rsidR="00BA5313" w:rsidRPr="00E7672A">
        <w:rPr>
          <w:b/>
          <w:color w:val="FFFFFF" w:themeColor="background1"/>
        </w:rPr>
        <w:t>Garantías que Ofrece la Nueva Estructura</w:t>
      </w:r>
      <w:bookmarkEnd w:id="16"/>
    </w:p>
    <w:p w:rsidR="00BA5313" w:rsidRPr="00E7672A" w:rsidRDefault="00BA5313" w:rsidP="002A0A46">
      <w:pPr>
        <w:pStyle w:val="NormalWeb"/>
        <w:jc w:val="both"/>
        <w:rPr>
          <w:rFonts w:asciiTheme="minorHAnsi" w:eastAsiaTheme="minorHAnsi" w:hAnsiTheme="minorHAnsi" w:cstheme="minorBidi"/>
          <w:sz w:val="22"/>
          <w:szCs w:val="22"/>
          <w:lang w:eastAsia="en-US"/>
        </w:rPr>
      </w:pPr>
      <w:r w:rsidRPr="00BA5313">
        <w:rPr>
          <w:rFonts w:asciiTheme="minorHAnsi" w:eastAsiaTheme="minorHAnsi" w:hAnsiTheme="minorHAnsi" w:cstheme="minorBidi"/>
          <w:sz w:val="22"/>
          <w:szCs w:val="22"/>
          <w:lang w:eastAsia="en-US"/>
        </w:rPr>
        <w:t>La estructura en cuatro fases, con la participación de un operador logístico, garantiza</w:t>
      </w:r>
      <w:r w:rsidR="00E7672A">
        <w:rPr>
          <w:rFonts w:asciiTheme="minorHAnsi" w:eastAsiaTheme="minorHAnsi" w:hAnsiTheme="minorHAnsi" w:cstheme="minorBidi"/>
          <w:sz w:val="22"/>
          <w:szCs w:val="22"/>
          <w:lang w:eastAsia="en-US"/>
        </w:rPr>
        <w:t xml:space="preserve"> </w:t>
      </w:r>
      <w:r w:rsidRPr="00E7672A">
        <w:rPr>
          <w:rFonts w:asciiTheme="minorHAnsi" w:eastAsiaTheme="minorHAnsi" w:hAnsiTheme="minorHAnsi" w:cstheme="minorBidi"/>
          <w:bCs/>
          <w:sz w:val="22"/>
          <w:szCs w:val="22"/>
          <w:lang w:eastAsia="en-US"/>
        </w:rPr>
        <w:t>Calidad Nutricional y Seguridad Alimentaria</w:t>
      </w:r>
      <w:r w:rsidR="00E7672A">
        <w:rPr>
          <w:rFonts w:asciiTheme="minorHAnsi" w:eastAsiaTheme="minorHAnsi" w:hAnsiTheme="minorHAnsi" w:cstheme="minorBidi"/>
          <w:bCs/>
          <w:sz w:val="22"/>
          <w:szCs w:val="22"/>
          <w:lang w:eastAsia="en-US"/>
        </w:rPr>
        <w:t xml:space="preserve"> debido a </w:t>
      </w:r>
      <w:r w:rsidR="00E7672A">
        <w:rPr>
          <w:rFonts w:asciiTheme="minorHAnsi" w:eastAsiaTheme="minorHAnsi" w:hAnsiTheme="minorHAnsi" w:cstheme="minorBidi"/>
          <w:sz w:val="22"/>
          <w:szCs w:val="22"/>
          <w:lang w:eastAsia="en-US"/>
        </w:rPr>
        <w:t>l</w:t>
      </w:r>
      <w:r w:rsidRPr="00E7672A">
        <w:rPr>
          <w:rFonts w:asciiTheme="minorHAnsi" w:eastAsiaTheme="minorHAnsi" w:hAnsiTheme="minorHAnsi" w:cstheme="minorBidi"/>
          <w:sz w:val="22"/>
          <w:szCs w:val="22"/>
          <w:lang w:eastAsia="en-US"/>
        </w:rPr>
        <w:t>os rigurosos protocolos de selección de proveedores</w:t>
      </w:r>
      <w:r w:rsidRPr="00BA5313">
        <w:rPr>
          <w:rFonts w:asciiTheme="minorHAnsi" w:eastAsiaTheme="minorHAnsi" w:hAnsiTheme="minorHAnsi" w:cstheme="minorBidi"/>
          <w:sz w:val="22"/>
          <w:szCs w:val="22"/>
          <w:lang w:eastAsia="en-US"/>
        </w:rPr>
        <w:t xml:space="preserve">, control sanitario, manipulación y conservación garantizan que los alimentos </w:t>
      </w:r>
      <w:r w:rsidRPr="00E7672A">
        <w:rPr>
          <w:rFonts w:asciiTheme="minorHAnsi" w:eastAsiaTheme="minorHAnsi" w:hAnsiTheme="minorHAnsi" w:cstheme="minorBidi"/>
          <w:sz w:val="22"/>
          <w:szCs w:val="22"/>
          <w:lang w:eastAsia="en-US"/>
        </w:rPr>
        <w:t xml:space="preserve">sean </w:t>
      </w:r>
      <w:r w:rsidRPr="00E7672A">
        <w:rPr>
          <w:rFonts w:asciiTheme="minorHAnsi" w:eastAsiaTheme="minorHAnsi" w:hAnsiTheme="minorHAnsi" w:cstheme="minorBidi"/>
          <w:bCs/>
          <w:sz w:val="22"/>
          <w:szCs w:val="22"/>
          <w:lang w:eastAsia="en-US"/>
        </w:rPr>
        <w:t>nutritivos, inocuos y cumplan con los estándares de calidad requeridos</w:t>
      </w:r>
      <w:r w:rsidRPr="00E7672A">
        <w:rPr>
          <w:rFonts w:asciiTheme="minorHAnsi" w:eastAsiaTheme="minorHAnsi" w:hAnsiTheme="minorHAnsi" w:cstheme="minorBidi"/>
          <w:sz w:val="22"/>
          <w:szCs w:val="22"/>
          <w:lang w:eastAsia="en-US"/>
        </w:rPr>
        <w:t>.</w:t>
      </w:r>
    </w:p>
    <w:p w:rsidR="00BA5313" w:rsidRPr="00E7672A" w:rsidRDefault="00E7672A" w:rsidP="00E7672A">
      <w:pPr>
        <w:pStyle w:val="NormalWeb"/>
        <w:jc w:val="both"/>
        <w:rPr>
          <w:rFonts w:asciiTheme="minorHAnsi" w:eastAsiaTheme="minorHAnsi" w:hAnsiTheme="minorHAnsi" w:cstheme="minorBidi"/>
          <w:sz w:val="22"/>
          <w:szCs w:val="22"/>
          <w:lang w:eastAsia="en-US"/>
        </w:rPr>
      </w:pPr>
      <w:r w:rsidRPr="00E7672A">
        <w:rPr>
          <w:rFonts w:asciiTheme="minorHAnsi" w:eastAsiaTheme="minorHAnsi" w:hAnsiTheme="minorHAnsi" w:cstheme="minorBidi"/>
          <w:bCs/>
          <w:sz w:val="22"/>
          <w:szCs w:val="22"/>
          <w:lang w:eastAsia="en-US"/>
        </w:rPr>
        <w:t xml:space="preserve">La </w:t>
      </w:r>
      <w:r w:rsidR="00BA5313" w:rsidRPr="00E7672A">
        <w:rPr>
          <w:rFonts w:asciiTheme="minorHAnsi" w:eastAsiaTheme="minorHAnsi" w:hAnsiTheme="minorHAnsi" w:cstheme="minorBidi"/>
          <w:sz w:val="22"/>
          <w:szCs w:val="22"/>
          <w:lang w:eastAsia="en-US"/>
        </w:rPr>
        <w:t>Fase IV</w:t>
      </w:r>
      <w:r w:rsidR="00BA5313" w:rsidRPr="00BA5313">
        <w:rPr>
          <w:rFonts w:asciiTheme="minorHAnsi" w:eastAsiaTheme="minorHAnsi" w:hAnsiTheme="minorHAnsi" w:cstheme="minorBidi"/>
          <w:sz w:val="22"/>
          <w:szCs w:val="22"/>
          <w:lang w:eastAsia="en-US"/>
        </w:rPr>
        <w:t xml:space="preserve">, dedicada a la calidad, el seguimiento y el monitoreo, asegura que el servicio se evalúe constantemente, permitiendo </w:t>
      </w:r>
      <w:r w:rsidR="00BA5313" w:rsidRPr="00E7672A">
        <w:rPr>
          <w:rFonts w:asciiTheme="minorHAnsi" w:eastAsiaTheme="minorHAnsi" w:hAnsiTheme="minorHAnsi" w:cstheme="minorBidi"/>
          <w:bCs/>
          <w:sz w:val="22"/>
          <w:szCs w:val="22"/>
          <w:lang w:eastAsia="en-US"/>
        </w:rPr>
        <w:t>identificar desviaciones, implementar acciones correctivas y garantizar el cumplimiento de los objetivos</w:t>
      </w:r>
      <w:r w:rsidR="00BA5313" w:rsidRPr="00E7672A">
        <w:rPr>
          <w:rFonts w:asciiTheme="minorHAnsi" w:eastAsiaTheme="minorHAnsi" w:hAnsiTheme="minorHAnsi" w:cstheme="minorBidi"/>
          <w:sz w:val="22"/>
          <w:szCs w:val="22"/>
          <w:lang w:eastAsia="en-US"/>
        </w:rPr>
        <w:t>.</w:t>
      </w:r>
    </w:p>
    <w:p w:rsidR="00BA5313" w:rsidRPr="00E7672A" w:rsidRDefault="00E7672A" w:rsidP="00E7672A">
      <w:pPr>
        <w:pStyle w:val="NormalWeb"/>
        <w:jc w:val="both"/>
        <w:rPr>
          <w:rFonts w:asciiTheme="minorHAnsi" w:eastAsiaTheme="minorHAnsi" w:hAnsiTheme="minorHAnsi" w:cstheme="minorBidi"/>
          <w:sz w:val="22"/>
          <w:szCs w:val="22"/>
          <w:lang w:eastAsia="en-US"/>
        </w:rPr>
      </w:pPr>
      <w:r>
        <w:rPr>
          <w:rFonts w:asciiTheme="minorHAnsi" w:eastAsiaTheme="minorHAnsi" w:hAnsiTheme="minorHAnsi" w:cstheme="minorBidi"/>
          <w:bCs/>
          <w:sz w:val="22"/>
          <w:szCs w:val="22"/>
          <w:lang w:eastAsia="en-US"/>
        </w:rPr>
        <w:t xml:space="preserve">Es de </w:t>
      </w:r>
      <w:r w:rsidRPr="00E7672A">
        <w:rPr>
          <w:rFonts w:asciiTheme="minorHAnsi" w:eastAsiaTheme="minorHAnsi" w:hAnsiTheme="minorHAnsi" w:cstheme="minorBidi"/>
          <w:bCs/>
          <w:sz w:val="22"/>
          <w:szCs w:val="22"/>
          <w:lang w:eastAsia="en-US"/>
        </w:rPr>
        <w:t>resalta</w:t>
      </w:r>
      <w:r>
        <w:rPr>
          <w:rFonts w:asciiTheme="minorHAnsi" w:eastAsiaTheme="minorHAnsi" w:hAnsiTheme="minorHAnsi" w:cstheme="minorBidi"/>
          <w:bCs/>
          <w:sz w:val="22"/>
          <w:szCs w:val="22"/>
          <w:lang w:eastAsia="en-US"/>
        </w:rPr>
        <w:t>r</w:t>
      </w:r>
      <w:r w:rsidRPr="00E7672A">
        <w:rPr>
          <w:rFonts w:asciiTheme="minorHAnsi" w:eastAsiaTheme="minorHAnsi" w:hAnsiTheme="minorHAnsi" w:cstheme="minorBidi"/>
          <w:bCs/>
          <w:sz w:val="22"/>
          <w:szCs w:val="22"/>
          <w:lang w:eastAsia="en-US"/>
        </w:rPr>
        <w:t xml:space="preserve"> que</w:t>
      </w:r>
      <w:r>
        <w:rPr>
          <w:rFonts w:asciiTheme="minorHAnsi" w:eastAsiaTheme="minorHAnsi" w:hAnsiTheme="minorHAnsi" w:cstheme="minorBidi"/>
          <w:bCs/>
          <w:sz w:val="22"/>
          <w:szCs w:val="22"/>
          <w:lang w:eastAsia="en-US"/>
        </w:rPr>
        <w:t>,</w:t>
      </w:r>
      <w:r w:rsidRPr="00E7672A">
        <w:rPr>
          <w:rFonts w:asciiTheme="minorHAnsi" w:eastAsiaTheme="minorHAnsi" w:hAnsiTheme="minorHAnsi" w:cstheme="minorBidi"/>
          <w:bCs/>
          <w:sz w:val="22"/>
          <w:szCs w:val="22"/>
          <w:lang w:eastAsia="en-US"/>
        </w:rPr>
        <w:t xml:space="preserve"> la </w:t>
      </w:r>
      <w:r w:rsidR="00BA5313" w:rsidRPr="00E7672A">
        <w:rPr>
          <w:rFonts w:asciiTheme="minorHAnsi" w:eastAsiaTheme="minorHAnsi" w:hAnsiTheme="minorHAnsi" w:cstheme="minorBidi"/>
          <w:sz w:val="22"/>
          <w:szCs w:val="22"/>
          <w:lang w:eastAsia="en-US"/>
        </w:rPr>
        <w:t xml:space="preserve">exigencia de registros e informes facilita la </w:t>
      </w:r>
      <w:r w:rsidR="00BA5313" w:rsidRPr="00E7672A">
        <w:rPr>
          <w:rFonts w:asciiTheme="minorHAnsi" w:eastAsiaTheme="minorHAnsi" w:hAnsiTheme="minorHAnsi" w:cstheme="minorBidi"/>
          <w:bCs/>
          <w:sz w:val="22"/>
          <w:szCs w:val="22"/>
          <w:lang w:eastAsia="en-US"/>
        </w:rPr>
        <w:t xml:space="preserve">creación de indicadores clave de </w:t>
      </w:r>
      <w:r w:rsidR="00114C92" w:rsidRPr="00E7672A">
        <w:rPr>
          <w:rFonts w:asciiTheme="minorHAnsi" w:eastAsiaTheme="minorHAnsi" w:hAnsiTheme="minorHAnsi" w:cstheme="minorBidi"/>
          <w:bCs/>
          <w:sz w:val="22"/>
          <w:szCs w:val="22"/>
          <w:lang w:eastAsia="en-US"/>
        </w:rPr>
        <w:t xml:space="preserve">desempeño </w:t>
      </w:r>
      <w:r w:rsidR="00114C92" w:rsidRPr="00E7672A">
        <w:rPr>
          <w:rFonts w:asciiTheme="minorHAnsi" w:eastAsiaTheme="minorHAnsi" w:hAnsiTheme="minorHAnsi" w:cstheme="minorBidi"/>
          <w:sz w:val="22"/>
          <w:szCs w:val="22"/>
          <w:lang w:eastAsia="en-US"/>
        </w:rPr>
        <w:t>relacionados</w:t>
      </w:r>
      <w:r w:rsidR="00BA5313" w:rsidRPr="00E7672A">
        <w:rPr>
          <w:rFonts w:asciiTheme="minorHAnsi" w:eastAsiaTheme="minorHAnsi" w:hAnsiTheme="minorHAnsi" w:cstheme="minorBidi"/>
          <w:sz w:val="22"/>
          <w:szCs w:val="22"/>
          <w:lang w:eastAsia="en-US"/>
        </w:rPr>
        <w:t xml:space="preserve"> con la eficiencia de la entrega, la calidad de los alimentos, la satisfacción de los beneficiarios y el cumplimiento normativo. Estos indicadores permiten medir el progreso, identificar áreas de mejora y tomar decisiones informadas.</w:t>
      </w:r>
    </w:p>
    <w:p w:rsidR="00BA5313" w:rsidRPr="00BA5313" w:rsidRDefault="00BA5313" w:rsidP="00114C92">
      <w:pPr>
        <w:pStyle w:val="NormalWeb"/>
        <w:jc w:val="both"/>
        <w:rPr>
          <w:rFonts w:asciiTheme="minorHAnsi" w:eastAsiaTheme="minorHAnsi" w:hAnsiTheme="minorHAnsi" w:cstheme="minorBidi"/>
          <w:sz w:val="22"/>
          <w:szCs w:val="22"/>
          <w:lang w:eastAsia="en-US"/>
        </w:rPr>
      </w:pPr>
      <w:r w:rsidRPr="00BA5313">
        <w:rPr>
          <w:rFonts w:asciiTheme="minorHAnsi" w:eastAsiaTheme="minorHAnsi" w:hAnsiTheme="minorHAnsi" w:cstheme="minorBidi"/>
          <w:sz w:val="22"/>
          <w:szCs w:val="22"/>
          <w:lang w:eastAsia="en-US"/>
        </w:rPr>
        <w:t xml:space="preserve">Si bien la estructura proporciona un marco claro, la Fase II (Ejecución) considera </w:t>
      </w:r>
      <w:r w:rsidRPr="00114C92">
        <w:rPr>
          <w:rFonts w:asciiTheme="minorHAnsi" w:eastAsiaTheme="minorHAnsi" w:hAnsiTheme="minorHAnsi" w:cstheme="minorBidi"/>
          <w:sz w:val="22"/>
          <w:szCs w:val="22"/>
          <w:lang w:eastAsia="en-US"/>
        </w:rPr>
        <w:t xml:space="preserve">la </w:t>
      </w:r>
      <w:r w:rsidRPr="00114C92">
        <w:rPr>
          <w:rFonts w:asciiTheme="minorHAnsi" w:eastAsiaTheme="minorHAnsi" w:hAnsiTheme="minorHAnsi" w:cstheme="minorBidi"/>
          <w:bCs/>
          <w:sz w:val="22"/>
          <w:szCs w:val="22"/>
          <w:lang w:eastAsia="en-US"/>
        </w:rPr>
        <w:t>flexibilidad e intercambio de cantidades de alimentos según las necesidades y la verificación de asistencia</w:t>
      </w:r>
      <w:r w:rsidRPr="00114C92">
        <w:rPr>
          <w:rFonts w:asciiTheme="minorHAnsi" w:eastAsiaTheme="minorHAnsi" w:hAnsiTheme="minorHAnsi" w:cstheme="minorBidi"/>
          <w:sz w:val="22"/>
          <w:szCs w:val="22"/>
          <w:lang w:eastAsia="en-US"/>
        </w:rPr>
        <w:t>, lo que permite adaptar el servicio a las dinámicas cambiantes en los puntos de atención.</w:t>
      </w:r>
    </w:p>
    <w:p w:rsidR="00BA5313" w:rsidRDefault="00114C92" w:rsidP="00114C92">
      <w:pPr>
        <w:pStyle w:val="NormalWeb"/>
        <w:jc w:val="both"/>
        <w:rPr>
          <w:rFonts w:asciiTheme="minorHAnsi" w:eastAsiaTheme="minorHAnsi" w:hAnsiTheme="minorHAnsi" w:cstheme="minorBidi"/>
          <w:sz w:val="22"/>
          <w:szCs w:val="22"/>
          <w:lang w:eastAsia="en-US"/>
        </w:rPr>
      </w:pPr>
      <w:r w:rsidRPr="00114C92">
        <w:rPr>
          <w:rFonts w:asciiTheme="minorHAnsi" w:eastAsiaTheme="minorHAnsi" w:hAnsiTheme="minorHAnsi" w:cstheme="minorBidi"/>
          <w:bCs/>
          <w:sz w:val="22"/>
          <w:szCs w:val="22"/>
          <w:lang w:eastAsia="en-US"/>
        </w:rPr>
        <w:t xml:space="preserve">Así mismo la </w:t>
      </w:r>
      <w:r w:rsidRPr="00114C92">
        <w:rPr>
          <w:rFonts w:asciiTheme="minorHAnsi" w:eastAsiaTheme="minorHAnsi" w:hAnsiTheme="minorHAnsi" w:cstheme="minorBidi"/>
          <w:sz w:val="22"/>
          <w:szCs w:val="22"/>
          <w:lang w:eastAsia="en-US"/>
        </w:rPr>
        <w:t>documentación</w:t>
      </w:r>
      <w:r w:rsidR="00BA5313" w:rsidRPr="00BA5313">
        <w:rPr>
          <w:rFonts w:asciiTheme="minorHAnsi" w:eastAsiaTheme="minorHAnsi" w:hAnsiTheme="minorHAnsi" w:cstheme="minorBidi"/>
          <w:sz w:val="22"/>
          <w:szCs w:val="22"/>
          <w:lang w:eastAsia="en-US"/>
        </w:rPr>
        <w:t xml:space="preserve"> exhaustiva y los informes </w:t>
      </w:r>
      <w:r w:rsidR="00BA5313" w:rsidRPr="00114C92">
        <w:rPr>
          <w:rFonts w:asciiTheme="minorHAnsi" w:eastAsiaTheme="minorHAnsi" w:hAnsiTheme="minorHAnsi" w:cstheme="minorBidi"/>
          <w:sz w:val="22"/>
          <w:szCs w:val="22"/>
          <w:lang w:eastAsia="en-US"/>
        </w:rPr>
        <w:t xml:space="preserve">periódicos facilitan la </w:t>
      </w:r>
      <w:r w:rsidR="00BA5313" w:rsidRPr="00114C92">
        <w:rPr>
          <w:rFonts w:asciiTheme="minorHAnsi" w:eastAsiaTheme="minorHAnsi" w:hAnsiTheme="minorHAnsi" w:cstheme="minorBidi"/>
          <w:bCs/>
          <w:sz w:val="22"/>
          <w:szCs w:val="22"/>
          <w:lang w:eastAsia="en-US"/>
        </w:rPr>
        <w:t>rendición de cuentas por parte del operador logístico</w:t>
      </w:r>
      <w:r w:rsidR="00BA5313" w:rsidRPr="00114C92">
        <w:rPr>
          <w:rFonts w:asciiTheme="minorHAnsi" w:eastAsiaTheme="minorHAnsi" w:hAnsiTheme="minorHAnsi" w:cstheme="minorBidi"/>
          <w:sz w:val="22"/>
          <w:szCs w:val="22"/>
          <w:lang w:eastAsia="en-US"/>
        </w:rPr>
        <w:t xml:space="preserve"> y proporcionan al IDIPRON la información necesaria para evaluar el cumplimiento del contrato.</w:t>
      </w:r>
    </w:p>
    <w:p w:rsidR="00522DED" w:rsidRDefault="00114C92" w:rsidP="00114C92">
      <w:pPr>
        <w:pStyle w:val="NormalWeb"/>
        <w:jc w:val="both"/>
        <w:rPr>
          <w:rFonts w:asciiTheme="minorHAnsi" w:eastAsiaTheme="minorHAnsi" w:hAnsiTheme="minorHAnsi" w:cstheme="minorBidi"/>
          <w:sz w:val="22"/>
          <w:szCs w:val="22"/>
          <w:lang w:eastAsia="en-US"/>
        </w:rPr>
      </w:pPr>
      <w:r w:rsidRPr="00114C92">
        <w:rPr>
          <w:rFonts w:asciiTheme="minorHAnsi" w:eastAsiaTheme="minorHAnsi" w:hAnsiTheme="minorHAnsi" w:cstheme="minorBidi"/>
          <w:sz w:val="22"/>
          <w:szCs w:val="22"/>
          <w:lang w:eastAsia="en-US"/>
        </w:rPr>
        <w:t xml:space="preserve">Por otro lado, la estructura en fases permite la </w:t>
      </w:r>
      <w:r w:rsidRPr="00114C92">
        <w:rPr>
          <w:rFonts w:asciiTheme="minorHAnsi" w:eastAsiaTheme="minorHAnsi" w:hAnsiTheme="minorHAnsi" w:cstheme="minorBidi"/>
          <w:bCs/>
          <w:sz w:val="22"/>
          <w:szCs w:val="22"/>
          <w:lang w:eastAsia="en-US"/>
        </w:rPr>
        <w:t>gestión de riesgos e imprevistos;</w:t>
      </w:r>
      <w:r w:rsidR="00BA5313" w:rsidRPr="00114C92">
        <w:rPr>
          <w:rFonts w:asciiTheme="minorHAnsi" w:eastAsiaTheme="minorHAnsi" w:hAnsiTheme="minorHAnsi" w:cstheme="minorBidi"/>
          <w:sz w:val="22"/>
          <w:szCs w:val="22"/>
          <w:lang w:eastAsia="en-US"/>
        </w:rPr>
        <w:t xml:space="preserve"> en la Fase IV </w:t>
      </w:r>
      <w:r w:rsidRPr="00114C92">
        <w:rPr>
          <w:rFonts w:asciiTheme="minorHAnsi" w:eastAsiaTheme="minorHAnsi" w:hAnsiTheme="minorHAnsi" w:cstheme="minorBidi"/>
          <w:sz w:val="22"/>
          <w:szCs w:val="22"/>
          <w:lang w:eastAsia="en-US"/>
        </w:rPr>
        <w:t xml:space="preserve">permite </w:t>
      </w:r>
      <w:r w:rsidR="00BA5313" w:rsidRPr="00114C92">
        <w:rPr>
          <w:rFonts w:asciiTheme="minorHAnsi" w:eastAsiaTheme="minorHAnsi" w:hAnsiTheme="minorHAnsi" w:cstheme="minorBidi"/>
          <w:bCs/>
          <w:sz w:val="22"/>
          <w:szCs w:val="22"/>
          <w:lang w:eastAsia="en-US"/>
        </w:rPr>
        <w:t>identificar posibles problemas y desarrollar planes de contingencia</w:t>
      </w:r>
      <w:r w:rsidR="00BA5313" w:rsidRPr="00114C92">
        <w:rPr>
          <w:rFonts w:asciiTheme="minorHAnsi" w:eastAsiaTheme="minorHAnsi" w:hAnsiTheme="minorHAnsi" w:cstheme="minorBidi"/>
          <w:sz w:val="22"/>
          <w:szCs w:val="22"/>
          <w:lang w:eastAsia="en-US"/>
        </w:rPr>
        <w:t xml:space="preserve"> para minimizar su impacto en la continuidad del servicio.</w:t>
      </w:r>
    </w:p>
    <w:p w:rsidR="00121641" w:rsidRPr="00114C92" w:rsidRDefault="00121641" w:rsidP="00114C92">
      <w:pPr>
        <w:pStyle w:val="NormalWeb"/>
        <w:jc w:val="both"/>
        <w:rPr>
          <w:rFonts w:asciiTheme="minorHAnsi" w:eastAsiaTheme="minorHAnsi" w:hAnsiTheme="minorHAnsi" w:cstheme="minorBidi"/>
          <w:sz w:val="22"/>
          <w:szCs w:val="22"/>
          <w:lang w:eastAsia="en-US"/>
        </w:rPr>
      </w:pPr>
    </w:p>
    <w:p w:rsidR="00C75238" w:rsidRPr="005B053F" w:rsidRDefault="007B0577" w:rsidP="00D53E70">
      <w:pPr>
        <w:pStyle w:val="Ttulo1"/>
        <w:shd w:val="clear" w:color="auto" w:fill="808080" w:themeFill="background1" w:themeFillShade="80"/>
        <w:jc w:val="both"/>
        <w:rPr>
          <w:b/>
          <w:color w:val="FFFFFF" w:themeColor="background1"/>
        </w:rPr>
      </w:pPr>
      <w:bookmarkStart w:id="17" w:name="_Toc195633229"/>
      <w:r w:rsidRPr="005B053F">
        <w:rPr>
          <w:b/>
          <w:color w:val="FFFFFF" w:themeColor="background1"/>
        </w:rPr>
        <w:t>II</w:t>
      </w:r>
      <w:r w:rsidR="00735BE2">
        <w:rPr>
          <w:b/>
          <w:color w:val="FFFFFF" w:themeColor="background1"/>
        </w:rPr>
        <w:t>I</w:t>
      </w:r>
      <w:r w:rsidRPr="005B053F">
        <w:rPr>
          <w:b/>
          <w:color w:val="FFFFFF" w:themeColor="background1"/>
        </w:rPr>
        <w:t xml:space="preserve">. </w:t>
      </w:r>
      <w:r w:rsidR="00760ECF" w:rsidRPr="005B053F">
        <w:rPr>
          <w:b/>
          <w:color w:val="FFFFFF" w:themeColor="background1"/>
        </w:rPr>
        <w:t>VENTAJAS DE LA CONTRATACIÓN DE UN OPERADOR LOGÍSTICO PARA EL SERVICIO DE ALIMENTACIÓN NNAJ</w:t>
      </w:r>
      <w:bookmarkEnd w:id="17"/>
      <w:r w:rsidR="00760ECF" w:rsidRPr="005B053F">
        <w:rPr>
          <w:b/>
          <w:color w:val="FFFFFF" w:themeColor="background1"/>
        </w:rPr>
        <w:t xml:space="preserve"> </w:t>
      </w:r>
    </w:p>
    <w:p w:rsidR="00760ECF" w:rsidRDefault="00760ECF" w:rsidP="00760ECF">
      <w:pPr>
        <w:jc w:val="center"/>
        <w:rPr>
          <w:b/>
        </w:rPr>
      </w:pPr>
    </w:p>
    <w:p w:rsidR="00760ECF" w:rsidRPr="00760ECF" w:rsidRDefault="00760ECF" w:rsidP="00760ECF">
      <w:pPr>
        <w:jc w:val="both"/>
      </w:pPr>
      <w:r w:rsidRPr="00760ECF">
        <w:t xml:space="preserve">El presente </w:t>
      </w:r>
      <w:r w:rsidR="005B053F">
        <w:t>apartado</w:t>
      </w:r>
      <w:r w:rsidRPr="00760ECF">
        <w:t xml:space="preserve"> tiene como objetivo presentar de manera integral y detallada las ventajas significativas que la nueva modalidad de contratación de un operador logístico para la preparación y distribución de alimentos a la población NNAJ en las UPIS representa, en comparación con el modelo actual basado en la compra de alimentos a través de bolsa mercantil y la preparación por personal propio en cada unidad.</w:t>
      </w:r>
    </w:p>
    <w:p w:rsidR="007B0577" w:rsidRPr="00760ECF" w:rsidRDefault="00760ECF" w:rsidP="007B0577">
      <w:pPr>
        <w:jc w:val="both"/>
      </w:pPr>
      <w:r w:rsidRPr="00760ECF">
        <w:t>La transición hacia un operador logístico especializado se fundamenta en la necesidad de optimizar la eficiencia, garantizar la calidad, fortalecer el cumplimiento normativo y mitigar los riesgos asociados a la prestación de este servicio esencial. A continuación, se exponen los beneficios clave desde diversas perspectivas técnicas y operacionales, tomando como referencia las fases del nuevo contrato</w:t>
      </w:r>
      <w:r w:rsidR="007B0577" w:rsidRPr="00760ECF">
        <w:t>, con su enfoque estructurado en la planificación, ejecución, administración y seguimiento de la calidad, sientan las bases para una prestación del servicio más profesional, confiable y beneficiosa para la población atendida.</w:t>
      </w:r>
    </w:p>
    <w:p w:rsidR="00760ECF" w:rsidRPr="00760ECF" w:rsidRDefault="00760ECF" w:rsidP="00760ECF">
      <w:pPr>
        <w:jc w:val="both"/>
      </w:pPr>
    </w:p>
    <w:p w:rsidR="00760ECF" w:rsidRPr="00D53E70" w:rsidRDefault="00735BE2" w:rsidP="00D53E70">
      <w:pPr>
        <w:pStyle w:val="Ttulo2"/>
        <w:shd w:val="clear" w:color="auto" w:fill="A6A6A6" w:themeFill="background1" w:themeFillShade="A6"/>
        <w:rPr>
          <w:b/>
          <w:color w:val="FFFFFF" w:themeColor="background1"/>
        </w:rPr>
      </w:pPr>
      <w:bookmarkStart w:id="18" w:name="_Toc195633230"/>
      <w:r>
        <w:rPr>
          <w:b/>
          <w:color w:val="FFFFFF" w:themeColor="background1"/>
        </w:rPr>
        <w:t>3.</w:t>
      </w:r>
      <w:r w:rsidR="00760ECF" w:rsidRPr="00D53E70">
        <w:rPr>
          <w:b/>
          <w:color w:val="FFFFFF" w:themeColor="background1"/>
        </w:rPr>
        <w:t>1. Mayor Eficiencia Operacional y Logística</w:t>
      </w:r>
      <w:bookmarkEnd w:id="18"/>
    </w:p>
    <w:p w:rsidR="00D53E70" w:rsidRDefault="00D53E70" w:rsidP="00760ECF">
      <w:pPr>
        <w:jc w:val="both"/>
        <w:rPr>
          <w:i/>
        </w:rPr>
      </w:pPr>
    </w:p>
    <w:p w:rsidR="00760ECF" w:rsidRDefault="00735BE2" w:rsidP="00D53E70">
      <w:pPr>
        <w:pStyle w:val="Ttulo3"/>
      </w:pPr>
      <w:bookmarkStart w:id="19" w:name="_Toc195633231"/>
      <w:r>
        <w:t>3.</w:t>
      </w:r>
      <w:r w:rsidR="00B168BB" w:rsidRPr="00B168BB">
        <w:t>1.1 Optimización</w:t>
      </w:r>
      <w:r w:rsidR="00760ECF" w:rsidRPr="00B168BB">
        <w:t xml:space="preserve"> Integral de la Cadena de Suministro y la Calidad del Alimento Preparado</w:t>
      </w:r>
      <w:bookmarkEnd w:id="19"/>
    </w:p>
    <w:p w:rsidR="009E63D5" w:rsidRPr="009E63D5" w:rsidRDefault="009E63D5" w:rsidP="009E63D5"/>
    <w:p w:rsidR="001E59D2" w:rsidRDefault="001E59D2" w:rsidP="00760ECF">
      <w:pPr>
        <w:jc w:val="both"/>
      </w:pPr>
      <w:r>
        <w:t>E</w:t>
      </w:r>
      <w:r w:rsidR="006A71AE">
        <w:t xml:space="preserve">l </w:t>
      </w:r>
      <w:r>
        <w:t xml:space="preserve">enfoque integral en la cadena de suministro, donde la experticia en la preparación a gran escala guía la selección de los alimentos desde su origen, representa una ventaja técnica significativa sobre el modelo anterior, impactando positivamente en la calidad, la eficiencia y la inocuidad del servicio de alimentación para la población NNAJ. </w:t>
      </w:r>
    </w:p>
    <w:p w:rsidR="00760ECF" w:rsidRDefault="00760ECF" w:rsidP="00760ECF">
      <w:pPr>
        <w:jc w:val="both"/>
      </w:pPr>
      <w:r>
        <w:t xml:space="preserve">La contratación de un operador logístico con experiencia en preparación a gran </w:t>
      </w:r>
      <w:r w:rsidR="00B168BB">
        <w:t>escala introduce</w:t>
      </w:r>
      <w:r>
        <w:t xml:space="preserve"> una gestión unificada y experta en toda la cadena alimentaria. A diferencia del modelo actual, donde la adquisición de alimentos a través de múltiples proveedores por lotes separados no garantiza una visión integral desde la selección del insumo crudo hasta el alimento servido, el operador logístico asume la responsabilidad total de la selección, adquisición, almacenamiento, preparación y distribución. Esta integración vertical permite una mejor trazabilidad y control de las características de los alimentos en cada etapa.</w:t>
      </w:r>
    </w:p>
    <w:p w:rsidR="00760ECF" w:rsidRDefault="00760ECF" w:rsidP="00760ECF">
      <w:pPr>
        <w:jc w:val="both"/>
      </w:pPr>
      <w:r>
        <w:t>La experiencia del operador en la preparación de grandes volúmenes para poblaciones específicas (hospitales, PAE) implica un profundo conocimiento técnico en la selección de alimentos que optimizan los procesos de cocción a gran escala, mantienen sus propiedades nutricionales y organolépticas durante la preparación y garantizan la inocuidad del producto final. Esto contrasta con la posible variabilidad en la calidad y las características de los alimentos adquiridos a través de múltiples proveedores en el modelo anterior, donde la experticia en la selección no siempre estaba intrínsecamente ligada al proceso de preparación final en cada UPI.</w:t>
      </w:r>
    </w:p>
    <w:p w:rsidR="00760ECF" w:rsidRDefault="00760ECF" w:rsidP="00760ECF">
      <w:pPr>
        <w:jc w:val="both"/>
      </w:pPr>
      <w:r>
        <w:t>Al ser el operador el responsable tanto de la selección de los alimentos como de su preparación, se establece una cadena de valor más robusta para mantener las características deseadas del alimento desde su estado crudo hasta el plato servido. El conocimiento de las propiedades de los alimentos y su comportamiento durante los procesos de cocción a gran escala permite al operador seleccionar insumos que mejor se adapten a las técnicas de preparación y a los requerimientos nutricionales, asegurando una mayor consistencia en la calidad final del alimento.</w:t>
      </w:r>
    </w:p>
    <w:p w:rsidR="00760ECF" w:rsidRDefault="001E59D2" w:rsidP="00760ECF">
      <w:pPr>
        <w:jc w:val="both"/>
      </w:pPr>
      <w:r>
        <w:t>Además,</w:t>
      </w:r>
      <w:r w:rsidR="00760ECF">
        <w:t xml:space="preserve"> </w:t>
      </w:r>
      <w:r w:rsidR="00B168BB">
        <w:t>l</w:t>
      </w:r>
      <w:r w:rsidR="00760ECF">
        <w:t>a experiencia del operador en entornos como hospitales y el PAE garantiza la aplicación de técnicas de preparación eficientes, estandarizadas y que cumplen con altos estándares de calidad e higiene, optimizando los tiempos de cocción, minimizando las pérdidas de nutrientes y asegurando la homogeneidad en las raciones servidas en las diferentes UPIS.</w:t>
      </w:r>
    </w:p>
    <w:p w:rsidR="00760ECF" w:rsidRDefault="00B168BB" w:rsidP="00760ECF">
      <w:pPr>
        <w:jc w:val="both"/>
      </w:pPr>
      <w:r>
        <w:t>Así miso a</w:t>
      </w:r>
      <w:r w:rsidR="00760ECF">
        <w:t>l centralizar la responsabilidad de la selección y preparación en un único operador experto, se reduce la variabilidad en la calidad y las características de los alimentos preparados que podría surgir con múltiples proveedores y personal de cocina independiente en cada UPI. Esto permite una mayor predictibilidad en el cumplimiento de las minutas y los requerimientos nutricionales</w:t>
      </w:r>
      <w:r w:rsidR="001E59D2">
        <w:t>.</w:t>
      </w:r>
    </w:p>
    <w:p w:rsidR="007B0577" w:rsidRDefault="007B0577" w:rsidP="00760ECF">
      <w:pPr>
        <w:jc w:val="both"/>
      </w:pPr>
    </w:p>
    <w:p w:rsidR="001E59D2" w:rsidRDefault="00735BE2" w:rsidP="00D53E70">
      <w:pPr>
        <w:pStyle w:val="Ttulo3"/>
      </w:pPr>
      <w:bookmarkStart w:id="20" w:name="_Toc195633232"/>
      <w:r>
        <w:t>3.</w:t>
      </w:r>
      <w:r w:rsidR="001E59D2" w:rsidRPr="00D53E70">
        <w:t>1.</w:t>
      </w:r>
      <w:r w:rsidR="00760ECF" w:rsidRPr="00D53E70">
        <w:t xml:space="preserve">2. </w:t>
      </w:r>
      <w:r w:rsidR="001E59D2" w:rsidRPr="00D53E70">
        <w:t>Optimización de la Gestión de Alimentos y Reducción Significativa del Desperdicio</w:t>
      </w:r>
      <w:bookmarkEnd w:id="20"/>
    </w:p>
    <w:p w:rsidR="009E63D5" w:rsidRPr="009E63D5" w:rsidRDefault="009E63D5" w:rsidP="009E63D5"/>
    <w:p w:rsidR="006A71AE" w:rsidRDefault="006A71AE" w:rsidP="00760ECF">
      <w:pPr>
        <w:jc w:val="both"/>
      </w:pPr>
      <w:r w:rsidRPr="006A71AE">
        <w:t>En contraste con el modelo actual, donde la compra descentralizada y la preparación independiente en cada UPI dificultan la implementación de estrategias de gestión de la demanda basadas en datos precisos y en tiempo real, la contratación de un operador logístico introduce una gestión inteligente de los alimentos que impacta directamente en la reducción del desperdicio</w:t>
      </w:r>
      <w:r>
        <w:t xml:space="preserve">. </w:t>
      </w:r>
    </w:p>
    <w:p w:rsidR="006A71AE" w:rsidRDefault="006A71AE" w:rsidP="006A71AE">
      <w:pPr>
        <w:jc w:val="both"/>
      </w:pPr>
      <w:r>
        <w:t>A diferencia del modelo actual, donde la planificación de compras y la preparación de alimentos en cada UPI se basan en estimaciones aproximadas realizadas por el personal de cocina, lo que en ocasiones puedo generar excedentes, la contratación de un operador logístico permite la recopilación y análisis centralizado de datos históricos de asistencia por día de la semana en cada una de las 16 UPIs y UATs. Esta información estadística precisa se convierte en un insumo fundamental para la planificación de las cantidades de alimentos a adquirir y preparar, optimizando la gestión del inventario y reduciendo significativamente el riesgo de sobreproducción y, por ende, el desperdicio de alimentos.</w:t>
      </w:r>
    </w:p>
    <w:p w:rsidR="006A71AE" w:rsidRDefault="006A71AE" w:rsidP="006A71AE">
      <w:pPr>
        <w:jc w:val="both"/>
      </w:pPr>
      <w:r>
        <w:t>Es así que, la implementación de un sistema de verificación de asistencia dos veces al día por parte del operador en las UPIS proporciona información actualizada y precisa sobre el número real de beneficiarios presentes. Esta data en tiempo real permite ajustar la producción de alimentos de manera dinámica, evitando la preparación de raciones innecesarias y minimizando el desperdicio de alimentos preparados. Esta capacidad de respuesta ágil a la demanda es una ventaja considerable sobre el modelo anterior, donde la planificación podría basarse en datos menos actualizados o en estimaciones menos precisas.</w:t>
      </w:r>
    </w:p>
    <w:p w:rsidR="006A71AE" w:rsidRDefault="006A71AE" w:rsidP="006A71AE">
      <w:pPr>
        <w:jc w:val="both"/>
      </w:pPr>
      <w:r>
        <w:t xml:space="preserve">Cabe resaltar </w:t>
      </w:r>
      <w:r w:rsidR="007B0577">
        <w:t>que,</w:t>
      </w:r>
      <w:r>
        <w:t xml:space="preserve"> si bien la consolidación de compras por parte del operador genera economías de escala y costos unitarios potencialmente más bajos, esta ventaja se potencia al combinarla con la información precisa de la demanda. El operador puede planificar las compras de manera estratégica, adquiriendo las cantidades justas de cada alimento según las proyecciones basadas en datos de asistencia, evitando compras excesivas que puedan generar pérdidas por deterioro o caducidad o cambios en las minutas para poder utilizar alimentos que ya se habían adquirido, como sucedía en ocasiones con el modelo actual. </w:t>
      </w:r>
    </w:p>
    <w:p w:rsidR="006A71AE" w:rsidRDefault="006A71AE" w:rsidP="006A71AE">
      <w:pPr>
        <w:jc w:val="both"/>
      </w:pPr>
      <w:r>
        <w:t>De esta manera la visión integral de la demanda en las diferentes UPIS permite al operador una planificación de menús más eficiente, optimizando el uso de los ingredientes adquiridos y reduciendo la probabilidad de tener excedentes de ciertos alimentos, minimizando el riesgo de desperdicio antes de su preparación.</w:t>
      </w:r>
    </w:p>
    <w:p w:rsidR="007B0577" w:rsidRDefault="006A71AE" w:rsidP="006A71AE">
      <w:pPr>
        <w:jc w:val="both"/>
      </w:pPr>
      <w:r>
        <w:t>Igualmente, la gestión centralizada de inventarios por un operador logístico profesional, tal como se menciona en la Fase II con los protocolos PEPS (Primeras Entradas, Primeras Salidas), asegura una rotación eficiente de los alimentos, minimizando el riesgo de caducidad y las pérdidas asociadas al almacenamiento prolongado. Esta gestión se basa en el conocimiento preciso y centralizado de las fechas de vencimiento y las cantidades necesarias, información que se obtiene del análisis de la demanda.</w:t>
      </w:r>
    </w:p>
    <w:p w:rsidR="0068267C" w:rsidRDefault="0068267C" w:rsidP="006A71AE">
      <w:pPr>
        <w:jc w:val="both"/>
      </w:pPr>
    </w:p>
    <w:p w:rsidR="007B0577" w:rsidRDefault="00735BE2" w:rsidP="00D53E70">
      <w:pPr>
        <w:pStyle w:val="Ttulo3"/>
      </w:pPr>
      <w:bookmarkStart w:id="21" w:name="_Toc195633233"/>
      <w:r>
        <w:t>3.</w:t>
      </w:r>
      <w:r w:rsidR="007B0577" w:rsidRPr="00D53E70">
        <w:t>1.3 Planificación y Coordinación Centralizada</w:t>
      </w:r>
      <w:bookmarkEnd w:id="21"/>
    </w:p>
    <w:p w:rsidR="009E63D5" w:rsidRPr="009E63D5" w:rsidRDefault="009E63D5" w:rsidP="009E63D5"/>
    <w:p w:rsidR="00760ECF" w:rsidRDefault="00760ECF" w:rsidP="00760ECF">
      <w:pPr>
        <w:jc w:val="both"/>
      </w:pPr>
      <w:r w:rsidRPr="00760ECF">
        <w:t>La Fase I del nuevo contrato establece un plan de alistamiento técnico y un plan de movilización-transporte y entrega centralizados, lo que permitirá una planificación más eficiente y una mejor coordinación de las operaciones en todas las UPIS, reduciendo la carga operativa individual de cada unidad.</w:t>
      </w:r>
    </w:p>
    <w:p w:rsidR="009A67C0" w:rsidRDefault="009A67C0" w:rsidP="00760ECF">
      <w:pPr>
        <w:jc w:val="both"/>
      </w:pPr>
      <w:r w:rsidRPr="009A67C0">
        <w:t>La coordinación centralizada facilita la consolidación de envíos para múltiples UPIS/UATs en un solo vehículo, siempre que sea logísticamente viable y se mantengan las condiciones de seguridad alimentaria (como la cadena de frío). Esto disminuye el número de viajes necesarios, lo que a su vez reduce los costos de transporte, peajes y la huella de carbono asociada a la operación logística.</w:t>
      </w:r>
    </w:p>
    <w:p w:rsidR="009A67C0" w:rsidRDefault="009A67C0" w:rsidP="00760ECF">
      <w:pPr>
        <w:jc w:val="both"/>
      </w:pPr>
      <w:r>
        <w:t xml:space="preserve">La planificación </w:t>
      </w:r>
      <w:r w:rsidRPr="009A67C0">
        <w:t xml:space="preserve">centralizada permite la </w:t>
      </w:r>
      <w:r w:rsidRPr="009A67C0">
        <w:rPr>
          <w:rStyle w:val="Textoennegrita"/>
          <w:b w:val="0"/>
        </w:rPr>
        <w:t>implementación de procesos logísticos estandarizados</w:t>
      </w:r>
      <w:r>
        <w:t xml:space="preserve"> para la carga, descarga y entrega de alimentos en todas las UPIS/UATs. Esto facilita la capacitación del personal, mejora la eficiencia en la manipulación de los alimentos y reduce la probabilidad de errores o inconsistencias en la operación.</w:t>
      </w:r>
    </w:p>
    <w:p w:rsidR="009A67C0" w:rsidRDefault="009A67C0" w:rsidP="00760ECF">
      <w:pPr>
        <w:jc w:val="both"/>
      </w:pPr>
      <w:r>
        <w:t xml:space="preserve">Además, facilita un punto central de coordinación simplificando la comunicación entre el IDIPRON, el operador logístico y las UPIS/UATs. En lugar de múltiples canales de comunicación descentralizados, se establece un </w:t>
      </w:r>
      <w:r w:rsidRPr="009A67C0">
        <w:rPr>
          <w:rStyle w:val="Textoennegrita"/>
          <w:b w:val="0"/>
        </w:rPr>
        <w:t>flujo de información más directo y eficiente</w:t>
      </w:r>
      <w:r>
        <w:t xml:space="preserve"> para la programación de entregas, la resolución de problemas y la gestión de cualquier eventualidad, proporcionando una </w:t>
      </w:r>
      <w:r w:rsidRPr="009A67C0">
        <w:rPr>
          <w:rStyle w:val="Textoennegrita"/>
          <w:b w:val="0"/>
        </w:rPr>
        <w:t>visión panorámica de toda la operación logística</w:t>
      </w:r>
      <w:r w:rsidRPr="009A67C0">
        <w:rPr>
          <w:b/>
        </w:rPr>
        <w:t>,</w:t>
      </w:r>
      <w:r>
        <w:t xml:space="preserve"> permitiendo al operador y al IDIPRON identificar cuellos de botella, optimizar la asignación de recursos y tomar decisiones estratégicas basadas en datos consolidados de todas las unidades. Los datos centralizados permiten generar indicadores de gestión más precisos y realizar análisis comparativos entre las diferentes UPIS/UATs.</w:t>
      </w:r>
    </w:p>
    <w:p w:rsidR="00121641" w:rsidRPr="00760ECF" w:rsidRDefault="00121641" w:rsidP="00760ECF">
      <w:pPr>
        <w:jc w:val="both"/>
      </w:pPr>
    </w:p>
    <w:p w:rsidR="009E63D5" w:rsidRDefault="00735BE2" w:rsidP="00760ECF">
      <w:pPr>
        <w:jc w:val="both"/>
        <w:rPr>
          <w:rFonts w:asciiTheme="majorHAnsi" w:eastAsiaTheme="majorEastAsia" w:hAnsiTheme="majorHAnsi" w:cstheme="majorBidi"/>
          <w:color w:val="1F3763" w:themeColor="accent1" w:themeShade="7F"/>
          <w:sz w:val="24"/>
          <w:szCs w:val="24"/>
        </w:rPr>
      </w:pPr>
      <w:r>
        <w:rPr>
          <w:rFonts w:asciiTheme="majorHAnsi" w:eastAsiaTheme="majorEastAsia" w:hAnsiTheme="majorHAnsi" w:cstheme="majorBidi"/>
          <w:color w:val="1F3763" w:themeColor="accent1" w:themeShade="7F"/>
          <w:sz w:val="24"/>
          <w:szCs w:val="24"/>
        </w:rPr>
        <w:t>3.</w:t>
      </w:r>
      <w:r w:rsidR="007B0577" w:rsidRPr="00D53E70">
        <w:rPr>
          <w:rFonts w:asciiTheme="majorHAnsi" w:eastAsiaTheme="majorEastAsia" w:hAnsiTheme="majorHAnsi" w:cstheme="majorBidi"/>
          <w:color w:val="1F3763" w:themeColor="accent1" w:themeShade="7F"/>
          <w:sz w:val="24"/>
          <w:szCs w:val="24"/>
        </w:rPr>
        <w:t>1.</w:t>
      </w:r>
      <w:r w:rsidR="00760ECF" w:rsidRPr="00D53E70">
        <w:rPr>
          <w:rFonts w:asciiTheme="majorHAnsi" w:eastAsiaTheme="majorEastAsia" w:hAnsiTheme="majorHAnsi" w:cstheme="majorBidi"/>
          <w:color w:val="1F3763" w:themeColor="accent1" w:themeShade="7F"/>
          <w:sz w:val="24"/>
          <w:szCs w:val="24"/>
        </w:rPr>
        <w:t>4. Gestión de Inventarios Profesional</w:t>
      </w:r>
    </w:p>
    <w:p w:rsidR="00712061" w:rsidRDefault="009E63D5" w:rsidP="00760ECF">
      <w:pPr>
        <w:jc w:val="both"/>
      </w:pPr>
      <w:r w:rsidRPr="009E63D5">
        <w:t xml:space="preserve">La </w:t>
      </w:r>
      <w:r w:rsidR="00760ECF" w:rsidRPr="00760ECF">
        <w:t>Fase IV contempla una gestión de inventario para la eficiencia y control por parte del operador, lo que asegura la disponibilidad oportuna de los insumos y reduce el riesgo de desabastecimiento o pérdidas por caducidad, un desafío potencial en el modelo descentralizado actual.</w:t>
      </w:r>
      <w:r w:rsidR="00712061">
        <w:t xml:space="preserve"> Utilizando </w:t>
      </w:r>
      <w:r w:rsidR="00712061" w:rsidRPr="00712061">
        <w:t>datos históricos de consumo y la información sobre la asistencia esperada en las UPIS/UATs para predecir la demanda futura de cada tipo de alimento.</w:t>
      </w:r>
    </w:p>
    <w:p w:rsidR="009938AB" w:rsidRDefault="009938AB" w:rsidP="009938AB">
      <w:pPr>
        <w:spacing w:after="0" w:line="240" w:lineRule="auto"/>
        <w:jc w:val="both"/>
      </w:pPr>
      <w:r>
        <w:t xml:space="preserve">La gestión de inventarios permite </w:t>
      </w:r>
      <w:r w:rsidRPr="009938AB">
        <w:t>establecer procedimientos para la inspección de los alimentos al momento de la recepción para verificar su calidad, cantidad y cumplimiento de las</w:t>
      </w:r>
      <w:r>
        <w:t xml:space="preserve"> </w:t>
      </w:r>
      <w:r w:rsidRPr="009938AB">
        <w:t>especificaciones</w:t>
      </w:r>
      <w:r>
        <w:t xml:space="preserve">, técnicas establecidas a través de fichas técnicas de alimentos y minutas nutricionales. </w:t>
      </w:r>
    </w:p>
    <w:p w:rsidR="009938AB" w:rsidRPr="009938AB" w:rsidRDefault="009938AB" w:rsidP="009938AB">
      <w:pPr>
        <w:spacing w:after="0" w:line="240" w:lineRule="auto"/>
        <w:jc w:val="both"/>
      </w:pPr>
      <w:r w:rsidRPr="009938AB">
        <w:t xml:space="preserve"> </w:t>
      </w:r>
    </w:p>
    <w:p w:rsidR="00712061" w:rsidRDefault="009938AB" w:rsidP="009938AB">
      <w:pPr>
        <w:jc w:val="both"/>
      </w:pPr>
      <w:r>
        <w:t xml:space="preserve">Además, permite </w:t>
      </w:r>
      <w:r w:rsidRPr="009938AB">
        <w:t>implementar protocolos para la identificación y el manejo de alimentos no conformes (dañados, con fechas de caducidad cercanas, etc.), incluyendo su segregación y disposición adecuada.</w:t>
      </w:r>
    </w:p>
    <w:p w:rsidR="00760ECF" w:rsidRPr="00760ECF" w:rsidRDefault="00760ECF" w:rsidP="00760ECF">
      <w:pPr>
        <w:jc w:val="both"/>
      </w:pPr>
    </w:p>
    <w:p w:rsidR="00760ECF" w:rsidRPr="007B0577" w:rsidRDefault="00735BE2" w:rsidP="00D53E70">
      <w:pPr>
        <w:pStyle w:val="Ttulo2"/>
        <w:shd w:val="clear" w:color="auto" w:fill="A6A6A6" w:themeFill="background1" w:themeFillShade="A6"/>
        <w:rPr>
          <w:b/>
          <w:color w:val="FFFFFF" w:themeColor="background1"/>
        </w:rPr>
      </w:pPr>
      <w:bookmarkStart w:id="22" w:name="_Toc195633234"/>
      <w:r>
        <w:rPr>
          <w:b/>
          <w:color w:val="FFFFFF" w:themeColor="background1"/>
        </w:rPr>
        <w:t>3.</w:t>
      </w:r>
      <w:r w:rsidR="007B0577" w:rsidRPr="007B0577">
        <w:rPr>
          <w:b/>
          <w:color w:val="FFFFFF" w:themeColor="background1"/>
        </w:rPr>
        <w:t>2</w:t>
      </w:r>
      <w:r w:rsidR="00760ECF" w:rsidRPr="007B0577">
        <w:rPr>
          <w:b/>
          <w:color w:val="FFFFFF" w:themeColor="background1"/>
        </w:rPr>
        <w:t>. Fortalecimiento del Control de Calidad e Inocuidad Alimentaria</w:t>
      </w:r>
      <w:bookmarkEnd w:id="22"/>
    </w:p>
    <w:p w:rsidR="00D53E70" w:rsidRDefault="00D53E70" w:rsidP="00760ECF">
      <w:pPr>
        <w:jc w:val="both"/>
      </w:pPr>
    </w:p>
    <w:p w:rsidR="00760ECF" w:rsidRPr="00760ECF" w:rsidRDefault="00760ECF" w:rsidP="00760ECF">
      <w:pPr>
        <w:jc w:val="both"/>
      </w:pPr>
      <w:r w:rsidRPr="00760ECF">
        <w:t>La Fase I exige al operador la presentación de un Plan de Control Sanitario y Protocolos de Producción Higiénica robustos. La contratación de un operador especializado asegura la implementación uniforme y supervisada de las Buenas Prácticas de Manufactura (BPM) en todas las etapas, desde la recepción de materias primas hasta el servicio de comidas, minimizando los riesgos de contaminación y garantizando la inocuidad de los alimentos de manera consistente.</w:t>
      </w:r>
    </w:p>
    <w:p w:rsidR="00760ECF" w:rsidRPr="00760ECF" w:rsidRDefault="0068267C" w:rsidP="00760ECF">
      <w:pPr>
        <w:jc w:val="both"/>
      </w:pPr>
      <w:r>
        <w:t>Así mismo l</w:t>
      </w:r>
      <w:r w:rsidR="00760ECF" w:rsidRPr="00760ECF">
        <w:t>a estructura de</w:t>
      </w:r>
      <w:r>
        <w:t xml:space="preserve"> la nueva modalidad a través de un operador logístico especializado en preparación de alimentos, </w:t>
      </w:r>
      <w:r w:rsidRPr="00760ECF">
        <w:t>incluye</w:t>
      </w:r>
      <w:r w:rsidR="00760ECF" w:rsidRPr="00760ECF">
        <w:t xml:space="preserve"> perfiles como el Coordinador General y el Supervisor Operativo con experiencia específica en la industria alimentaria, quienes supervisarán de manera continua el cumplimiento de los estándares de calidad e inocuidad, algo que podría ser más heterogéneo en el modelo actual con personal propio de cada UPI.</w:t>
      </w:r>
    </w:p>
    <w:p w:rsidR="007B0577" w:rsidRDefault="0068267C" w:rsidP="00760ECF">
      <w:pPr>
        <w:jc w:val="both"/>
      </w:pPr>
      <w:r>
        <w:t>Es importante resaltar que l</w:t>
      </w:r>
      <w:r w:rsidR="00760ECF" w:rsidRPr="00760ECF">
        <w:t>a Fase II enfatiza la trazabilidad de los alimentos desde la compra hasta el servicio. Un operador logístico profesional implementará sistemas de trazabilidad eficientes, permitiendo un seguimiento preciso en caso de cualquier eventualidad o necesidad de retiro de alimentos, fortaleciendo la seguridad alimentaria.</w:t>
      </w:r>
    </w:p>
    <w:p w:rsidR="0068267C" w:rsidRDefault="0068267C" w:rsidP="00760ECF">
      <w:pPr>
        <w:jc w:val="both"/>
      </w:pPr>
    </w:p>
    <w:p w:rsidR="009E63D5" w:rsidRPr="00760ECF" w:rsidRDefault="009E63D5" w:rsidP="00760ECF">
      <w:pPr>
        <w:jc w:val="both"/>
      </w:pPr>
    </w:p>
    <w:p w:rsidR="00760ECF" w:rsidRPr="007B0577" w:rsidRDefault="00735BE2" w:rsidP="00D53E70">
      <w:pPr>
        <w:pStyle w:val="Ttulo2"/>
        <w:shd w:val="clear" w:color="auto" w:fill="A6A6A6" w:themeFill="background1" w:themeFillShade="A6"/>
        <w:rPr>
          <w:b/>
          <w:color w:val="FFFFFF" w:themeColor="background1"/>
        </w:rPr>
      </w:pPr>
      <w:bookmarkStart w:id="23" w:name="_Toc195633235"/>
      <w:r w:rsidRPr="007B0577">
        <w:rPr>
          <w:b/>
          <w:color w:val="FFFFFF" w:themeColor="background1"/>
        </w:rPr>
        <w:t>3.</w:t>
      </w:r>
      <w:r>
        <w:rPr>
          <w:b/>
          <w:color w:val="FFFFFF" w:themeColor="background1"/>
        </w:rPr>
        <w:t xml:space="preserve">3 </w:t>
      </w:r>
      <w:r w:rsidRPr="007B0577">
        <w:rPr>
          <w:b/>
          <w:color w:val="FFFFFF" w:themeColor="background1"/>
        </w:rPr>
        <w:t>Mayor</w:t>
      </w:r>
      <w:r w:rsidR="00760ECF" w:rsidRPr="007B0577">
        <w:rPr>
          <w:b/>
          <w:color w:val="FFFFFF" w:themeColor="background1"/>
        </w:rPr>
        <w:t xml:space="preserve"> Cumplimiento Normativo y Mitigación de Riesgos Legales</w:t>
      </w:r>
      <w:bookmarkEnd w:id="23"/>
    </w:p>
    <w:p w:rsidR="00D53E70" w:rsidRDefault="00D53E70" w:rsidP="00760ECF">
      <w:pPr>
        <w:jc w:val="both"/>
      </w:pPr>
    </w:p>
    <w:p w:rsidR="00760ECF" w:rsidRPr="00760ECF" w:rsidRDefault="00760ECF" w:rsidP="00760ECF">
      <w:pPr>
        <w:jc w:val="both"/>
      </w:pPr>
      <w:r w:rsidRPr="00760ECF">
        <w:t>La contratación de un operador logístico traslada la responsabilidad del cumplimiento normativo en materia de manipulación de alimentos, seguridad e higiene a un único ente contractual, lo que simplifica la supervisión por parte del IDIPRON y facilita la exigibilidad en caso de incumplimientos.</w:t>
      </w:r>
    </w:p>
    <w:p w:rsidR="00760ECF" w:rsidRPr="00760ECF" w:rsidRDefault="0068267C" w:rsidP="00760ECF">
      <w:pPr>
        <w:jc w:val="both"/>
      </w:pPr>
      <w:r>
        <w:t>Lo anterior teniendo en cuenta que, l</w:t>
      </w:r>
      <w:r w:rsidR="00760ECF" w:rsidRPr="00760ECF">
        <w:t>os operadores logísticos que</w:t>
      </w:r>
      <w:r>
        <w:t xml:space="preserve"> regularmente </w:t>
      </w:r>
      <w:r w:rsidR="00760ECF" w:rsidRPr="00760ECF">
        <w:t>participan en licitaciones públicas suelen tener experiencia en el cumplimiento de la normativa de contratación estatal, lo que reduce los riesgos de errores o inconsistencias en la ejecución del contrato.</w:t>
      </w:r>
    </w:p>
    <w:p w:rsidR="00760ECF" w:rsidRPr="00760ECF" w:rsidRDefault="00FE318E" w:rsidP="00760ECF">
      <w:pPr>
        <w:jc w:val="both"/>
      </w:pPr>
      <w:r>
        <w:t>Por otro lado, en l</w:t>
      </w:r>
      <w:r w:rsidR="00760ECF" w:rsidRPr="00760ECF">
        <w:t xml:space="preserve">a Fase I </w:t>
      </w:r>
      <w:r>
        <w:t xml:space="preserve">se </w:t>
      </w:r>
      <w:r w:rsidR="00760ECF" w:rsidRPr="00760ECF">
        <w:t>exige al operador la implementación de un SGSST</w:t>
      </w:r>
      <w:r w:rsidR="0068267C">
        <w:t xml:space="preserve"> </w:t>
      </w:r>
      <w:r w:rsidR="0068267C" w:rsidRPr="00760ECF">
        <w:t>Sistema General de Seguridad y Salud en el Trabajo</w:t>
      </w:r>
      <w:r w:rsidR="00760ECF" w:rsidRPr="00760ECF">
        <w:t xml:space="preserve"> para su personal, lo que asegura el bienestar y la seguridad de los manipuladores de alimentos, mitigando riesgos laborales para el IDIPRON asociados a la gestión directa de personal.</w:t>
      </w:r>
    </w:p>
    <w:p w:rsidR="00D53E70" w:rsidRDefault="00FE318E" w:rsidP="00760ECF">
      <w:pPr>
        <w:jc w:val="both"/>
      </w:pPr>
      <w:r>
        <w:t xml:space="preserve">Igualmente, en esta fase se </w:t>
      </w:r>
      <w:r w:rsidR="00760ECF" w:rsidRPr="00760ECF">
        <w:t>establece</w:t>
      </w:r>
      <w:r>
        <w:t xml:space="preserve">n </w:t>
      </w:r>
      <w:r w:rsidR="00DF222A">
        <w:t xml:space="preserve">los </w:t>
      </w:r>
      <w:r w:rsidR="00DF222A" w:rsidRPr="00760ECF">
        <w:t>criterios</w:t>
      </w:r>
      <w:r w:rsidR="00760ECF" w:rsidRPr="00760ECF">
        <w:t xml:space="preserve"> de selección de proveedores transparentes y basados en la normatividad, la capacidad de entrega y la calidad de los alimentos, lo que reduce el riesgo de adquirir insumos de baja calidad o de proveedores que no cumplen con los requisitos legales.</w:t>
      </w:r>
    </w:p>
    <w:p w:rsidR="00FE318E" w:rsidRPr="00760ECF" w:rsidRDefault="00FE318E" w:rsidP="00760ECF">
      <w:pPr>
        <w:jc w:val="both"/>
      </w:pPr>
    </w:p>
    <w:p w:rsidR="00760ECF" w:rsidRPr="00D53E70" w:rsidRDefault="00735BE2" w:rsidP="00D53E70">
      <w:pPr>
        <w:pStyle w:val="Ttulo2"/>
        <w:shd w:val="clear" w:color="auto" w:fill="A6A6A6" w:themeFill="background1" w:themeFillShade="A6"/>
        <w:rPr>
          <w:b/>
          <w:color w:val="FFFFFF" w:themeColor="background1"/>
        </w:rPr>
      </w:pPr>
      <w:bookmarkStart w:id="24" w:name="_Toc195633236"/>
      <w:r>
        <w:rPr>
          <w:b/>
          <w:color w:val="FFFFFF" w:themeColor="background1"/>
        </w:rPr>
        <w:t>3.</w:t>
      </w:r>
      <w:r w:rsidR="00760ECF" w:rsidRPr="00D53E70">
        <w:rPr>
          <w:b/>
          <w:color w:val="FFFFFF" w:themeColor="background1"/>
        </w:rPr>
        <w:t>4. Mayor Flexibilidad y Adaptabilidad</w:t>
      </w:r>
      <w:bookmarkEnd w:id="24"/>
    </w:p>
    <w:p w:rsidR="00D53E70" w:rsidRDefault="00D53E70" w:rsidP="00760ECF">
      <w:pPr>
        <w:jc w:val="both"/>
      </w:pPr>
    </w:p>
    <w:p w:rsidR="00760ECF" w:rsidRPr="00760ECF" w:rsidRDefault="00760ECF" w:rsidP="00760ECF">
      <w:pPr>
        <w:jc w:val="both"/>
      </w:pPr>
      <w:r w:rsidRPr="00760ECF">
        <w:t>Un operador logístico con una estructura robusta puede tener mayor capacidad para adaptarse a variaciones en la demanda, cambios en los menús o necesidades específicas de las UPIS, tal como se contempla en la Fase II con la flexibilidad e intercambio de cantidades de alimentos.</w:t>
      </w:r>
    </w:p>
    <w:p w:rsidR="00760ECF" w:rsidRDefault="00FE318E" w:rsidP="00760ECF">
      <w:pPr>
        <w:jc w:val="both"/>
      </w:pPr>
      <w:r>
        <w:t xml:space="preserve">Así mismo este tipo de operadores se encuentran </w:t>
      </w:r>
      <w:r w:rsidR="00760ECF" w:rsidRPr="00760ECF">
        <w:t>mejor preparado</w:t>
      </w:r>
      <w:r>
        <w:t>s</w:t>
      </w:r>
      <w:r w:rsidR="00760ECF" w:rsidRPr="00760ECF">
        <w:t xml:space="preserve"> para implementar planes de contingencia ante situaciones inesperadas (fallas en equipos, problemas de suministro, etc.), asegurando la continuidad del servicio de alimentación de manera más efectiva que la gestión individual en cada UPI</w:t>
      </w:r>
      <w:r>
        <w:t xml:space="preserve">; toda vez que el operador cuenta con su propia planta de alimentos. </w:t>
      </w:r>
    </w:p>
    <w:p w:rsidR="00FE318E" w:rsidRDefault="00792DD4" w:rsidP="00760ECF">
      <w:pPr>
        <w:jc w:val="both"/>
      </w:pPr>
      <w:r w:rsidRPr="00792DD4">
        <w:t>La ventaja de que el operador logístico cuente con su propia planta de producción y almacenamiento, certificada bajo normativas como Registro Sanitario, BPM (Buenas Prácticas de Manufactura) y HACCP (Análisis de Peligros y Puntos Críticos de Control), eleva significativamente el nivel de una "Gestión de Inventarios Profesional" y se convierte en un pilar aún más sólido para la eficiencia, el cumplimiento y, crucialmente, la flexibilidad y adaptabilidad de la nueva modalidad de entrega de alimentos</w:t>
      </w:r>
      <w:r>
        <w:t xml:space="preserve">, además de la respuesta eficiente ante situaciones que limiten la operación en el punto. </w:t>
      </w:r>
    </w:p>
    <w:p w:rsidR="00792DD4" w:rsidRDefault="00792DD4" w:rsidP="00760ECF">
      <w:pPr>
        <w:jc w:val="both"/>
      </w:pPr>
      <w:r w:rsidRPr="00792DD4">
        <w:t>La capacidad de ajustar la producción en la planta propia permite al operador responder de manera más eficiente a las fluctuaciones diarias en la asistencia en las UPIS/UATs. Se puede aumentar o disminuir la producción de ciertos alimentos con menor antelación, evitando el desperdicio por sobreproducción o la falta de alimentos por subestimación de la demanda.</w:t>
      </w:r>
    </w:p>
    <w:p w:rsidR="00792DD4" w:rsidRDefault="00792DD4" w:rsidP="00760ECF">
      <w:pPr>
        <w:jc w:val="both"/>
      </w:pPr>
      <w:r>
        <w:t xml:space="preserve">Por otro </w:t>
      </w:r>
      <w:r w:rsidR="009E63D5">
        <w:t>lado,</w:t>
      </w:r>
      <w:r>
        <w:t xml:space="preserve"> s</w:t>
      </w:r>
      <w:r w:rsidRPr="00792DD4">
        <w:t>i las minutas de alimentación necesitan ser modificadas por razones nutricionales, disponibilidad de ingredientes o preferencias de los beneficiarios, la planta propia permite una implementación más rápida y controlada de estos cambios en la producción.</w:t>
      </w:r>
    </w:p>
    <w:p w:rsidR="007B0577" w:rsidRPr="00760ECF" w:rsidRDefault="007B0577" w:rsidP="00760ECF">
      <w:pPr>
        <w:jc w:val="both"/>
      </w:pPr>
    </w:p>
    <w:p w:rsidR="00760ECF" w:rsidRPr="007B0577" w:rsidRDefault="00735BE2" w:rsidP="00D53E70">
      <w:pPr>
        <w:pStyle w:val="Ttulo2"/>
        <w:shd w:val="clear" w:color="auto" w:fill="A6A6A6" w:themeFill="background1" w:themeFillShade="A6"/>
        <w:rPr>
          <w:b/>
          <w:color w:val="FFFFFF" w:themeColor="background1"/>
        </w:rPr>
      </w:pPr>
      <w:bookmarkStart w:id="25" w:name="_Toc195633237"/>
      <w:r>
        <w:rPr>
          <w:b/>
          <w:color w:val="FFFFFF" w:themeColor="background1"/>
        </w:rPr>
        <w:t>3.</w:t>
      </w:r>
      <w:r w:rsidR="00760ECF" w:rsidRPr="007B0577">
        <w:rPr>
          <w:b/>
          <w:color w:val="FFFFFF" w:themeColor="background1"/>
        </w:rPr>
        <w:t>5. Optimización de la Gestión del Talento Humano</w:t>
      </w:r>
      <w:bookmarkEnd w:id="25"/>
    </w:p>
    <w:p w:rsidR="00D53E70" w:rsidRDefault="00D53E70" w:rsidP="00760ECF">
      <w:pPr>
        <w:jc w:val="both"/>
      </w:pPr>
    </w:p>
    <w:p w:rsidR="00792DD4" w:rsidRDefault="00760ECF" w:rsidP="00760ECF">
      <w:pPr>
        <w:jc w:val="both"/>
      </w:pPr>
      <w:r w:rsidRPr="00760ECF">
        <w:t>El operador logístico es responsable de la contratación, capacitación y supervisión de todo el personal manipulador de alimentos, asegurando que cuenten con las competencias y certificaciones necesarias para realizar sus funciones de manera segura e higiénica, tal como se detalla en la Fase I con el plan de capacitación.</w:t>
      </w:r>
    </w:p>
    <w:p w:rsidR="00760ECF" w:rsidRDefault="00760ECF" w:rsidP="00760ECF">
      <w:pPr>
        <w:jc w:val="both"/>
      </w:pPr>
      <w:r w:rsidRPr="00760ECF">
        <w:t>La gestión del personal de cocina en cada UPI (contratación, nómina, capacitación, etc.) representa una carga administrativa considerable para el IDIPRON. La contratación de un operador traslada esta responsabilidad, permitiendo que el IDIPRON se centre en su misión principal.</w:t>
      </w:r>
    </w:p>
    <w:p w:rsidR="007B0577" w:rsidRDefault="00505DA5" w:rsidP="00760ECF">
      <w:pPr>
        <w:jc w:val="both"/>
      </w:pPr>
      <w:r w:rsidRPr="00505DA5">
        <w:t>La</w:t>
      </w:r>
      <w:r>
        <w:t xml:space="preserve"> o</w:t>
      </w:r>
      <w:r w:rsidRPr="00505DA5">
        <w:t xml:space="preserve">ptimización de la </w:t>
      </w:r>
      <w:r>
        <w:t>g</w:t>
      </w:r>
      <w:r w:rsidRPr="00505DA5">
        <w:t>estión del Talento Humano en la nueva modalidad de entrega de alimentos radica en la definición clara de perfiles profesionales clave y la responsabilidad del operador logístico en su contratación, capacitación y supervisión. Esto asegura que se cuente con un equipo competente y comprometido, fundamental para la eficiencia operacional y logística del servicio.</w:t>
      </w:r>
      <w:r w:rsidR="00231AFC">
        <w:t xml:space="preserve"> Un equipo con roles y responsabilidades claras, liderado y supervisado por profesionales con experiencia, asegura un flujo de trabajo más eficiente en todas las etapas del proceso, desde la planificación hasta la entrega.</w:t>
      </w:r>
      <w:r w:rsidR="001339C4">
        <w:t xml:space="preserve"> </w:t>
      </w:r>
      <w:r w:rsidR="009E63D5">
        <w:t>Igualmente,</w:t>
      </w:r>
      <w:r w:rsidR="001339C4">
        <w:t xml:space="preserve"> </w:t>
      </w:r>
      <w:r w:rsidR="001339C4" w:rsidRPr="001339C4">
        <w:t>La presencia de profesionales con conocimiento en normatividad alimentaria (como se exige en los perfiles) asegura que el servicio se preste cumpliendo con todas las regulaciones vigentes, evitando sanciones y garantizando la legalidad de la operación.</w:t>
      </w:r>
    </w:p>
    <w:p w:rsidR="00505DA5" w:rsidRDefault="00505DA5" w:rsidP="00760ECF">
      <w:pPr>
        <w:jc w:val="both"/>
      </w:pPr>
      <w:r>
        <w:t>Es así que, l</w:t>
      </w:r>
      <w:r w:rsidRPr="00505DA5">
        <w:t>a identificación</w:t>
      </w:r>
      <w:r>
        <w:t xml:space="preserve"> y contratación</w:t>
      </w:r>
      <w:r w:rsidRPr="00505DA5">
        <w:t xml:space="preserve"> de roles como el Coordinador General, Supervisor Operativo, Líder Administrativo y de Cocina, y Manipuladores de Alimentos, demuestra una comprensión clara de las funciones y responsabilidades necesarias para la correcta ejecución del contrato en todas sus fases. Cada perfil está diseñado para abordar aspectos específicos de la operación, desde la gestión integral hasta la manipulación directa de los alimentos.</w:t>
      </w:r>
    </w:p>
    <w:p w:rsidR="00231AFC" w:rsidRDefault="00231AFC" w:rsidP="00760ECF">
      <w:pPr>
        <w:jc w:val="both"/>
      </w:pPr>
      <w:r>
        <w:t>De esta manera l</w:t>
      </w:r>
      <w:r w:rsidRPr="00231AFC">
        <w:t>a exigencia de perfiles con experiencia y formación específica (Ingeniería de Alimentos con especialización en logística para el Coordinador, Nutricionistas o Ingenieros para el Supervisor) garantiza que el operador logístico incorpore a su equipo profesionales con el conocimiento y la trayectoria necesarios para desempeñar sus funciones de manera efectiva desde el inicio. Esto minimiza la curva de aprendizaje y asegura un desempeño de calidad.</w:t>
      </w:r>
    </w:p>
    <w:p w:rsidR="00231AFC" w:rsidRDefault="00231AFC" w:rsidP="00760ECF">
      <w:pPr>
        <w:jc w:val="both"/>
      </w:pPr>
      <w:r>
        <w:t>En este caso e</w:t>
      </w:r>
      <w:r w:rsidRPr="00231AFC">
        <w:t>l rol del Coordinador General</w:t>
      </w:r>
      <w:r>
        <w:t>,</w:t>
      </w:r>
      <w:r w:rsidRPr="00231AFC">
        <w:t xml:space="preserve"> es crucial para la eficiencia y la coordinación logística. Su responsabilidad de liderar integralmente la ejecución del contrato, supervisar todas las fases y coordinar las operaciones en las múltiples UPIS/UATs asegura una gestión centralizada y coherente</w:t>
      </w:r>
      <w:r>
        <w:t xml:space="preserve">, así mismo </w:t>
      </w:r>
      <w:r w:rsidRPr="00231AFC">
        <w:t>su experiencia en plantas de producción y logística es fundamental para optimizar los procesos y garantizar el cumplimiento de los objetivos.</w:t>
      </w:r>
    </w:p>
    <w:p w:rsidR="00231AFC" w:rsidRDefault="00231AFC" w:rsidP="00760ECF">
      <w:pPr>
        <w:jc w:val="both"/>
      </w:pPr>
      <w:r>
        <w:t>En cuanto a l</w:t>
      </w:r>
      <w:r w:rsidRPr="00231AFC">
        <w:t xml:space="preserve">a figura del </w:t>
      </w:r>
      <w:r>
        <w:t>s</w:t>
      </w:r>
      <w:r w:rsidRPr="00231AFC">
        <w:t xml:space="preserve">upervisor </w:t>
      </w:r>
      <w:r>
        <w:t>o</w:t>
      </w:r>
      <w:r w:rsidRPr="00231AFC">
        <w:t>perativo, con su perfil en nutrición o ingeniería de alimentos, se enfoca en asegurar el cumplimiento operativo en el terreno. Su rol de supervisar al personal manipulador, verificar la calidad e inocuidad de los alimentos y controlar la logística a nivel operativo es esencial para garantizar que los procesos se ejecuten correctamente en cada UPI/UAT.</w:t>
      </w:r>
    </w:p>
    <w:p w:rsidR="00231AFC" w:rsidRDefault="00231AFC" w:rsidP="00760ECF">
      <w:pPr>
        <w:jc w:val="both"/>
      </w:pPr>
      <w:r>
        <w:t>Por su parte l</w:t>
      </w:r>
      <w:r w:rsidRPr="00231AFC">
        <w:t xml:space="preserve">os </w:t>
      </w:r>
      <w:r>
        <w:t>l</w:t>
      </w:r>
      <w:r w:rsidRPr="00231AFC">
        <w:t xml:space="preserve">íderes </w:t>
      </w:r>
      <w:r>
        <w:t>a</w:t>
      </w:r>
      <w:r w:rsidRPr="00231AFC">
        <w:t xml:space="preserve">dministrativos y de </w:t>
      </w:r>
      <w:r>
        <w:t>c</w:t>
      </w:r>
      <w:r w:rsidRPr="00231AFC">
        <w:t>ocina en cada UPI son responsables de la gestión integral a nivel local. Su rol de coordinar las actividades administrativas y operativas de la cocina, gestionar inventarios locales y supervisar al personal manipulador asegura una operación eficiente en cada punto de atención, adaptándose a las particularidades de cada UPI</w:t>
      </w:r>
      <w:r>
        <w:t>.</w:t>
      </w:r>
    </w:p>
    <w:p w:rsidR="00231AFC" w:rsidRDefault="00231AFC" w:rsidP="00760ECF">
      <w:pPr>
        <w:jc w:val="both"/>
      </w:pPr>
      <w:r>
        <w:t xml:space="preserve">En cuanto a la </w:t>
      </w:r>
      <w:r w:rsidRPr="00231AFC">
        <w:t>contratación de Manipuladores de Alimentos bajo la responsabilidad del operador, con la exigencia de cumplir normas sanitarias y aplicar prácticas de higiene, es fundamental para garantizar la seguridad alimentaria en la manipulación directa de los alimento</w:t>
      </w:r>
      <w:r>
        <w:t>s.</w:t>
      </w:r>
    </w:p>
    <w:p w:rsidR="00231AFC" w:rsidRDefault="00231AFC" w:rsidP="00760ECF">
      <w:pPr>
        <w:jc w:val="both"/>
      </w:pPr>
      <w:r w:rsidRPr="00231AFC">
        <w:t>La responsabilidad del operador de capacitar al personal manipulador (mencionado en la Fase I) asegura que cuenten con las competencias necesarias en áreas como higiene, manipulación segura de alimentos, control de calidad y protocolos operativos. Un personal bien capacitado es más eficiente y reduce los riesgos de errores o contaminación</w:t>
      </w:r>
      <w:r>
        <w:t>.</w:t>
      </w:r>
    </w:p>
    <w:p w:rsidR="00231AFC" w:rsidRPr="00760ECF" w:rsidRDefault="00231AFC" w:rsidP="00760ECF">
      <w:pPr>
        <w:jc w:val="both"/>
      </w:pPr>
    </w:p>
    <w:p w:rsidR="00760ECF" w:rsidRPr="00760ECF" w:rsidRDefault="00760ECF" w:rsidP="00760ECF">
      <w:pPr>
        <w:jc w:val="both"/>
      </w:pPr>
    </w:p>
    <w:sectPr w:rsidR="00760ECF" w:rsidRPr="00760ECF" w:rsidSect="005B053F">
      <w:headerReference w:type="default" r:id="rId8"/>
      <w:pgSz w:w="12240" w:h="15840"/>
      <w:pgMar w:top="1417" w:right="1701" w:bottom="1417" w:left="1701"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E6A81" w:rsidRDefault="00EE6A81" w:rsidP="005B053F">
      <w:pPr>
        <w:spacing w:after="0" w:line="240" w:lineRule="auto"/>
      </w:pPr>
      <w:r>
        <w:separator/>
      </w:r>
    </w:p>
  </w:endnote>
  <w:endnote w:type="continuationSeparator" w:id="0">
    <w:p w:rsidR="00EE6A81" w:rsidRDefault="00EE6A81" w:rsidP="005B05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E6A81" w:rsidRDefault="00EE6A81" w:rsidP="005B053F">
      <w:pPr>
        <w:spacing w:after="0" w:line="240" w:lineRule="auto"/>
      </w:pPr>
      <w:r>
        <w:separator/>
      </w:r>
    </w:p>
  </w:footnote>
  <w:footnote w:type="continuationSeparator" w:id="0">
    <w:p w:rsidR="00EE6A81" w:rsidRDefault="00EE6A81" w:rsidP="005B05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B053F" w:rsidRDefault="005B053F">
    <w:pPr>
      <w:pStyle w:val="Encabezado"/>
    </w:pPr>
    <w:r>
      <w:rPr>
        <w:noProof/>
        <w:lang w:val="en-US"/>
      </w:rPr>
      <w:drawing>
        <wp:anchor distT="0" distB="0" distL="114300" distR="114300" simplePos="0" relativeHeight="251659264" behindDoc="0" locked="0" layoutInCell="1" allowOverlap="1" wp14:anchorId="2EE59239" wp14:editId="382773A4">
          <wp:simplePos x="0" y="0"/>
          <wp:positionH relativeFrom="margin">
            <wp:align>center</wp:align>
          </wp:positionH>
          <wp:positionV relativeFrom="paragraph">
            <wp:posOffset>-213995</wp:posOffset>
          </wp:positionV>
          <wp:extent cx="819785" cy="920750"/>
          <wp:effectExtent l="0" t="0" r="0" b="0"/>
          <wp:wrapSquare wrapText="bothSides"/>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ultimo.bmp"/>
                  <pic:cNvPicPr/>
                </pic:nvPicPr>
                <pic:blipFill>
                  <a:blip r:embed="rId1" cstate="print">
                    <a:extLst>
                      <a:ext uri="{28A0092B-C50C-407E-A947-70E740481C1C}">
                        <a14:useLocalDpi xmlns:a14="http://schemas.microsoft.com/office/drawing/2010/main" val="0"/>
                      </a:ext>
                    </a:extLst>
                  </a:blip>
                  <a:stretch>
                    <a:fillRect/>
                  </a:stretch>
                </pic:blipFill>
                <pic:spPr>
                  <a:xfrm>
                    <a:off x="0" y="0"/>
                    <a:ext cx="819785" cy="920750"/>
                  </a:xfrm>
                  <a:prstGeom prst="rect">
                    <a:avLst/>
                  </a:prstGeom>
                </pic:spPr>
              </pic:pic>
            </a:graphicData>
          </a:graphic>
          <wp14:sizeRelH relativeFrom="margin">
            <wp14:pctWidth>0</wp14:pctWidth>
          </wp14:sizeRelH>
          <wp14:sizeRelV relativeFrom="margin">
            <wp14:pctHeight>0</wp14:pctHeight>
          </wp14:sizeRelV>
        </wp:anchor>
      </w:drawing>
    </w:r>
  </w:p>
  <w:p w:rsidR="005B053F" w:rsidRDefault="005B053F">
    <w:pPr>
      <w:pStyle w:val="Encabezado"/>
    </w:pPr>
  </w:p>
  <w:p w:rsidR="005B053F" w:rsidRDefault="005B053F">
    <w:pPr>
      <w:pStyle w:val="Encabezado"/>
    </w:pPr>
  </w:p>
  <w:p w:rsidR="005B053F" w:rsidRDefault="005B053F">
    <w:pPr>
      <w:pStyle w:val="Encabezado"/>
    </w:pPr>
  </w:p>
  <w:p w:rsidR="005B053F" w:rsidRDefault="005B053F">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DB43C7E"/>
    <w:multiLevelType w:val="multilevel"/>
    <w:tmpl w:val="DD3E14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2C031D4E"/>
    <w:multiLevelType w:val="multilevel"/>
    <w:tmpl w:val="EDEAD8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4141694"/>
    <w:multiLevelType w:val="multilevel"/>
    <w:tmpl w:val="D44AD6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0ECF"/>
    <w:rsid w:val="0007280C"/>
    <w:rsid w:val="000E5BDB"/>
    <w:rsid w:val="00114C92"/>
    <w:rsid w:val="00121641"/>
    <w:rsid w:val="001339C4"/>
    <w:rsid w:val="001910DE"/>
    <w:rsid w:val="001E59D2"/>
    <w:rsid w:val="00231AFC"/>
    <w:rsid w:val="002A0A46"/>
    <w:rsid w:val="00303AA6"/>
    <w:rsid w:val="00407E71"/>
    <w:rsid w:val="00505DA5"/>
    <w:rsid w:val="00522DED"/>
    <w:rsid w:val="005B053F"/>
    <w:rsid w:val="00603E7F"/>
    <w:rsid w:val="00606363"/>
    <w:rsid w:val="0068267C"/>
    <w:rsid w:val="006A71AE"/>
    <w:rsid w:val="006E723C"/>
    <w:rsid w:val="00712061"/>
    <w:rsid w:val="00735BE2"/>
    <w:rsid w:val="00760ECF"/>
    <w:rsid w:val="00792DD4"/>
    <w:rsid w:val="0079411E"/>
    <w:rsid w:val="007B0577"/>
    <w:rsid w:val="00821D63"/>
    <w:rsid w:val="009938AB"/>
    <w:rsid w:val="009958B1"/>
    <w:rsid w:val="009A67C0"/>
    <w:rsid w:val="009E63D5"/>
    <w:rsid w:val="009F08DC"/>
    <w:rsid w:val="00A46DAB"/>
    <w:rsid w:val="00B168BB"/>
    <w:rsid w:val="00B6480E"/>
    <w:rsid w:val="00BA5313"/>
    <w:rsid w:val="00C12488"/>
    <w:rsid w:val="00C75238"/>
    <w:rsid w:val="00CB3798"/>
    <w:rsid w:val="00D53E70"/>
    <w:rsid w:val="00D738B5"/>
    <w:rsid w:val="00DF222A"/>
    <w:rsid w:val="00E715CB"/>
    <w:rsid w:val="00E7672A"/>
    <w:rsid w:val="00EE6A81"/>
    <w:rsid w:val="00F81E2A"/>
    <w:rsid w:val="00FA24F1"/>
    <w:rsid w:val="00FE318E"/>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111A00"/>
  <w15:chartTrackingRefBased/>
  <w15:docId w15:val="{7C3512CF-C6CD-4481-B4EC-46463A62B1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Ttulo1">
    <w:name w:val="heading 1"/>
    <w:basedOn w:val="Normal"/>
    <w:next w:val="Normal"/>
    <w:link w:val="Ttulo1Car"/>
    <w:uiPriority w:val="9"/>
    <w:qFormat/>
    <w:rsid w:val="005B053F"/>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next w:val="Normal"/>
    <w:link w:val="Ttulo2Car"/>
    <w:uiPriority w:val="9"/>
    <w:unhideWhenUsed/>
    <w:qFormat/>
    <w:rsid w:val="00D53E70"/>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Ttulo3">
    <w:name w:val="heading 3"/>
    <w:basedOn w:val="Normal"/>
    <w:next w:val="Normal"/>
    <w:link w:val="Ttulo3Car"/>
    <w:uiPriority w:val="9"/>
    <w:unhideWhenUsed/>
    <w:qFormat/>
    <w:rsid w:val="00D53E70"/>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5B053F"/>
    <w:rPr>
      <w:rFonts w:asciiTheme="majorHAnsi" w:eastAsiaTheme="majorEastAsia" w:hAnsiTheme="majorHAnsi" w:cstheme="majorBidi"/>
      <w:color w:val="2F5496" w:themeColor="accent1" w:themeShade="BF"/>
      <w:sz w:val="32"/>
      <w:szCs w:val="32"/>
    </w:rPr>
  </w:style>
  <w:style w:type="paragraph" w:styleId="Encabezado">
    <w:name w:val="header"/>
    <w:basedOn w:val="Normal"/>
    <w:link w:val="EncabezadoCar"/>
    <w:uiPriority w:val="99"/>
    <w:unhideWhenUsed/>
    <w:rsid w:val="005B053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5B053F"/>
  </w:style>
  <w:style w:type="paragraph" w:styleId="Piedepgina">
    <w:name w:val="footer"/>
    <w:basedOn w:val="Normal"/>
    <w:link w:val="PiedepginaCar"/>
    <w:uiPriority w:val="99"/>
    <w:unhideWhenUsed/>
    <w:rsid w:val="005B053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5B053F"/>
  </w:style>
  <w:style w:type="paragraph" w:styleId="Sinespaciado">
    <w:name w:val="No Spacing"/>
    <w:link w:val="SinespaciadoCar"/>
    <w:uiPriority w:val="1"/>
    <w:qFormat/>
    <w:rsid w:val="005B053F"/>
    <w:pPr>
      <w:spacing w:after="0" w:line="240" w:lineRule="auto"/>
    </w:pPr>
    <w:rPr>
      <w:rFonts w:eastAsiaTheme="minorEastAsia"/>
      <w:lang w:eastAsia="es-CO"/>
    </w:rPr>
  </w:style>
  <w:style w:type="character" w:customStyle="1" w:styleId="SinespaciadoCar">
    <w:name w:val="Sin espaciado Car"/>
    <w:basedOn w:val="Fuentedeprrafopredeter"/>
    <w:link w:val="Sinespaciado"/>
    <w:uiPriority w:val="1"/>
    <w:rsid w:val="005B053F"/>
    <w:rPr>
      <w:rFonts w:eastAsiaTheme="minorEastAsia"/>
      <w:lang w:eastAsia="es-CO"/>
    </w:rPr>
  </w:style>
  <w:style w:type="character" w:customStyle="1" w:styleId="Ttulo2Car">
    <w:name w:val="Título 2 Car"/>
    <w:basedOn w:val="Fuentedeprrafopredeter"/>
    <w:link w:val="Ttulo2"/>
    <w:uiPriority w:val="9"/>
    <w:rsid w:val="00D53E70"/>
    <w:rPr>
      <w:rFonts w:asciiTheme="majorHAnsi" w:eastAsiaTheme="majorEastAsia" w:hAnsiTheme="majorHAnsi" w:cstheme="majorBidi"/>
      <w:color w:val="2F5496" w:themeColor="accent1" w:themeShade="BF"/>
      <w:sz w:val="26"/>
      <w:szCs w:val="26"/>
    </w:rPr>
  </w:style>
  <w:style w:type="character" w:customStyle="1" w:styleId="Ttulo3Car">
    <w:name w:val="Título 3 Car"/>
    <w:basedOn w:val="Fuentedeprrafopredeter"/>
    <w:link w:val="Ttulo3"/>
    <w:uiPriority w:val="9"/>
    <w:rsid w:val="00D53E70"/>
    <w:rPr>
      <w:rFonts w:asciiTheme="majorHAnsi" w:eastAsiaTheme="majorEastAsia" w:hAnsiTheme="majorHAnsi" w:cstheme="majorBidi"/>
      <w:color w:val="1F3763" w:themeColor="accent1" w:themeShade="7F"/>
      <w:sz w:val="24"/>
      <w:szCs w:val="24"/>
    </w:rPr>
  </w:style>
  <w:style w:type="paragraph" w:styleId="TtuloTDC">
    <w:name w:val="TOC Heading"/>
    <w:basedOn w:val="Ttulo1"/>
    <w:next w:val="Normal"/>
    <w:uiPriority w:val="39"/>
    <w:unhideWhenUsed/>
    <w:qFormat/>
    <w:rsid w:val="00FA24F1"/>
    <w:pPr>
      <w:outlineLvl w:val="9"/>
    </w:pPr>
    <w:rPr>
      <w:lang w:eastAsia="es-CO"/>
    </w:rPr>
  </w:style>
  <w:style w:type="paragraph" w:styleId="TDC1">
    <w:name w:val="toc 1"/>
    <w:basedOn w:val="Normal"/>
    <w:next w:val="Normal"/>
    <w:autoRedefine/>
    <w:uiPriority w:val="39"/>
    <w:unhideWhenUsed/>
    <w:rsid w:val="00FA24F1"/>
    <w:pPr>
      <w:spacing w:after="100"/>
    </w:pPr>
  </w:style>
  <w:style w:type="paragraph" w:styleId="TDC2">
    <w:name w:val="toc 2"/>
    <w:basedOn w:val="Normal"/>
    <w:next w:val="Normal"/>
    <w:autoRedefine/>
    <w:uiPriority w:val="39"/>
    <w:unhideWhenUsed/>
    <w:rsid w:val="00FA24F1"/>
    <w:pPr>
      <w:spacing w:after="100"/>
      <w:ind w:left="220"/>
    </w:pPr>
  </w:style>
  <w:style w:type="paragraph" w:styleId="TDC3">
    <w:name w:val="toc 3"/>
    <w:basedOn w:val="Normal"/>
    <w:next w:val="Normal"/>
    <w:autoRedefine/>
    <w:uiPriority w:val="39"/>
    <w:unhideWhenUsed/>
    <w:rsid w:val="00FA24F1"/>
    <w:pPr>
      <w:spacing w:after="100"/>
      <w:ind w:left="440"/>
    </w:pPr>
  </w:style>
  <w:style w:type="character" w:styleId="Hipervnculo">
    <w:name w:val="Hyperlink"/>
    <w:basedOn w:val="Fuentedeprrafopredeter"/>
    <w:uiPriority w:val="99"/>
    <w:unhideWhenUsed/>
    <w:rsid w:val="00FA24F1"/>
    <w:rPr>
      <w:color w:val="0563C1" w:themeColor="hyperlink"/>
      <w:u w:val="single"/>
    </w:rPr>
  </w:style>
  <w:style w:type="paragraph" w:styleId="NormalWeb">
    <w:name w:val="Normal (Web)"/>
    <w:basedOn w:val="Normal"/>
    <w:uiPriority w:val="99"/>
    <w:unhideWhenUsed/>
    <w:rsid w:val="00BA5313"/>
    <w:pPr>
      <w:spacing w:before="100" w:beforeAutospacing="1" w:after="100" w:afterAutospacing="1" w:line="240" w:lineRule="auto"/>
    </w:pPr>
    <w:rPr>
      <w:rFonts w:ascii="Times New Roman" w:eastAsia="Times New Roman" w:hAnsi="Times New Roman" w:cs="Times New Roman"/>
      <w:sz w:val="24"/>
      <w:szCs w:val="24"/>
      <w:lang w:eastAsia="es-CO"/>
    </w:rPr>
  </w:style>
  <w:style w:type="character" w:styleId="Textoennegrita">
    <w:name w:val="Strong"/>
    <w:basedOn w:val="Fuentedeprrafopredeter"/>
    <w:uiPriority w:val="22"/>
    <w:qFormat/>
    <w:rsid w:val="00BA531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580360">
      <w:bodyDiv w:val="1"/>
      <w:marLeft w:val="0"/>
      <w:marRight w:val="0"/>
      <w:marTop w:val="0"/>
      <w:marBottom w:val="0"/>
      <w:divBdr>
        <w:top w:val="none" w:sz="0" w:space="0" w:color="auto"/>
        <w:left w:val="none" w:sz="0" w:space="0" w:color="auto"/>
        <w:bottom w:val="none" w:sz="0" w:space="0" w:color="auto"/>
        <w:right w:val="none" w:sz="0" w:space="0" w:color="auto"/>
      </w:divBdr>
    </w:div>
    <w:div w:id="77606155">
      <w:bodyDiv w:val="1"/>
      <w:marLeft w:val="0"/>
      <w:marRight w:val="0"/>
      <w:marTop w:val="0"/>
      <w:marBottom w:val="0"/>
      <w:divBdr>
        <w:top w:val="none" w:sz="0" w:space="0" w:color="auto"/>
        <w:left w:val="none" w:sz="0" w:space="0" w:color="auto"/>
        <w:bottom w:val="none" w:sz="0" w:space="0" w:color="auto"/>
        <w:right w:val="none" w:sz="0" w:space="0" w:color="auto"/>
      </w:divBdr>
    </w:div>
    <w:div w:id="130635804">
      <w:bodyDiv w:val="1"/>
      <w:marLeft w:val="0"/>
      <w:marRight w:val="0"/>
      <w:marTop w:val="0"/>
      <w:marBottom w:val="0"/>
      <w:divBdr>
        <w:top w:val="none" w:sz="0" w:space="0" w:color="auto"/>
        <w:left w:val="none" w:sz="0" w:space="0" w:color="auto"/>
        <w:bottom w:val="none" w:sz="0" w:space="0" w:color="auto"/>
        <w:right w:val="none" w:sz="0" w:space="0" w:color="auto"/>
      </w:divBdr>
    </w:div>
    <w:div w:id="240066080">
      <w:bodyDiv w:val="1"/>
      <w:marLeft w:val="0"/>
      <w:marRight w:val="0"/>
      <w:marTop w:val="0"/>
      <w:marBottom w:val="0"/>
      <w:divBdr>
        <w:top w:val="none" w:sz="0" w:space="0" w:color="auto"/>
        <w:left w:val="none" w:sz="0" w:space="0" w:color="auto"/>
        <w:bottom w:val="none" w:sz="0" w:space="0" w:color="auto"/>
        <w:right w:val="none" w:sz="0" w:space="0" w:color="auto"/>
      </w:divBdr>
    </w:div>
    <w:div w:id="324825061">
      <w:bodyDiv w:val="1"/>
      <w:marLeft w:val="0"/>
      <w:marRight w:val="0"/>
      <w:marTop w:val="0"/>
      <w:marBottom w:val="0"/>
      <w:divBdr>
        <w:top w:val="none" w:sz="0" w:space="0" w:color="auto"/>
        <w:left w:val="none" w:sz="0" w:space="0" w:color="auto"/>
        <w:bottom w:val="none" w:sz="0" w:space="0" w:color="auto"/>
        <w:right w:val="none" w:sz="0" w:space="0" w:color="auto"/>
      </w:divBdr>
    </w:div>
    <w:div w:id="539321645">
      <w:bodyDiv w:val="1"/>
      <w:marLeft w:val="0"/>
      <w:marRight w:val="0"/>
      <w:marTop w:val="0"/>
      <w:marBottom w:val="0"/>
      <w:divBdr>
        <w:top w:val="none" w:sz="0" w:space="0" w:color="auto"/>
        <w:left w:val="none" w:sz="0" w:space="0" w:color="auto"/>
        <w:bottom w:val="none" w:sz="0" w:space="0" w:color="auto"/>
        <w:right w:val="none" w:sz="0" w:space="0" w:color="auto"/>
      </w:divBdr>
    </w:div>
    <w:div w:id="731270225">
      <w:bodyDiv w:val="1"/>
      <w:marLeft w:val="0"/>
      <w:marRight w:val="0"/>
      <w:marTop w:val="0"/>
      <w:marBottom w:val="0"/>
      <w:divBdr>
        <w:top w:val="none" w:sz="0" w:space="0" w:color="auto"/>
        <w:left w:val="none" w:sz="0" w:space="0" w:color="auto"/>
        <w:bottom w:val="none" w:sz="0" w:space="0" w:color="auto"/>
        <w:right w:val="none" w:sz="0" w:space="0" w:color="auto"/>
      </w:divBdr>
    </w:div>
    <w:div w:id="1113014494">
      <w:bodyDiv w:val="1"/>
      <w:marLeft w:val="0"/>
      <w:marRight w:val="0"/>
      <w:marTop w:val="0"/>
      <w:marBottom w:val="0"/>
      <w:divBdr>
        <w:top w:val="none" w:sz="0" w:space="0" w:color="auto"/>
        <w:left w:val="none" w:sz="0" w:space="0" w:color="auto"/>
        <w:bottom w:val="none" w:sz="0" w:space="0" w:color="auto"/>
        <w:right w:val="none" w:sz="0" w:space="0" w:color="auto"/>
      </w:divBdr>
    </w:div>
    <w:div w:id="1417439402">
      <w:bodyDiv w:val="1"/>
      <w:marLeft w:val="0"/>
      <w:marRight w:val="0"/>
      <w:marTop w:val="0"/>
      <w:marBottom w:val="0"/>
      <w:divBdr>
        <w:top w:val="none" w:sz="0" w:space="0" w:color="auto"/>
        <w:left w:val="none" w:sz="0" w:space="0" w:color="auto"/>
        <w:bottom w:val="none" w:sz="0" w:space="0" w:color="auto"/>
        <w:right w:val="none" w:sz="0" w:space="0" w:color="auto"/>
      </w:divBdr>
    </w:div>
    <w:div w:id="1544708585">
      <w:bodyDiv w:val="1"/>
      <w:marLeft w:val="0"/>
      <w:marRight w:val="0"/>
      <w:marTop w:val="0"/>
      <w:marBottom w:val="0"/>
      <w:divBdr>
        <w:top w:val="none" w:sz="0" w:space="0" w:color="auto"/>
        <w:left w:val="none" w:sz="0" w:space="0" w:color="auto"/>
        <w:bottom w:val="none" w:sz="0" w:space="0" w:color="auto"/>
        <w:right w:val="none" w:sz="0" w:space="0" w:color="auto"/>
      </w:divBdr>
    </w:div>
    <w:div w:id="1637105118">
      <w:bodyDiv w:val="1"/>
      <w:marLeft w:val="0"/>
      <w:marRight w:val="0"/>
      <w:marTop w:val="0"/>
      <w:marBottom w:val="0"/>
      <w:divBdr>
        <w:top w:val="none" w:sz="0" w:space="0" w:color="auto"/>
        <w:left w:val="none" w:sz="0" w:space="0" w:color="auto"/>
        <w:bottom w:val="none" w:sz="0" w:space="0" w:color="auto"/>
        <w:right w:val="none" w:sz="0" w:space="0" w:color="auto"/>
      </w:divBdr>
    </w:div>
    <w:div w:id="2073697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9135B6-B5A1-4FF7-9C4D-A2CE7E68DB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280</TotalTime>
  <Pages>20</Pages>
  <Words>6927</Words>
  <Characters>39697</Characters>
  <Application>Microsoft Office Word</Application>
  <DocSecurity>0</DocSecurity>
  <Lines>640</Lines>
  <Paragraphs>275</Paragraphs>
  <ScaleCrop>false</ScaleCrop>
  <HeadingPairs>
    <vt:vector size="4" baseType="variant">
      <vt:variant>
        <vt:lpstr>Título</vt:lpstr>
      </vt:variant>
      <vt:variant>
        <vt:i4>1</vt:i4>
      </vt:variant>
      <vt:variant>
        <vt:lpstr>Títulos</vt:lpstr>
      </vt:variant>
      <vt:variant>
        <vt:i4>25</vt:i4>
      </vt:variant>
    </vt:vector>
  </HeadingPairs>
  <TitlesOfParts>
    <vt:vector size="26" baseType="lpstr">
      <vt:lpstr>NUEVA MODALIDAD DE ENTREGA DE ALIMENTOS A LA POBLACIÓN NNAJ ATENDIDA EN IDIPRON. ESTRUCTURA Y VENTAJAS</vt:lpstr>
      <vt:lpstr>I. JUSTIFICACIÓN PARA EL CAMBIO DE MODALIDAD  DE LOTES DE ALIMENTOS A OPERADOR L</vt:lpstr>
      <vt:lpstr>    1.1 Optimización de la Misionalidad Institucional y Enfoque Estratégico</vt:lpstr>
      <vt:lpstr>    1.2 Fortalecimiento del Control y la Trazabilidad de los Alimentos</vt:lpstr>
      <vt:lpstr>    1.3 Optimización Presupuestal a Largo Plazo y Eficiencia en Rubros Específicos</vt:lpstr>
      <vt:lpstr>    1.4 Ampliación de la Cobertura y Flexibilidad en la Atención</vt:lpstr>
      <vt:lpstr>    1.5 Mayor Rigurosidad en la Verificación y Soportes de Entrega</vt:lpstr>
      <vt:lpstr>    1.6 Simplificación del Seguimiento y Monitoreo del Cumplimiento de Gramajes</vt:lpstr>
      <vt:lpstr>    1.7 Fortalecimiento del Talento Humano y la Experticia Técnica</vt:lpstr>
      <vt:lpstr>    1.8 Optimización de la Logística de Transporte y Aseguramiento de la Cadena de F</vt:lpstr>
      <vt:lpstr>    1.9 Mayor Objetividad en la Verificación de la Calidad Alimentaria</vt:lpstr>
      <vt:lpstr>    1.10 Respaldo Contractual y Exigibilidad a través de Pólizas de Cumplimiento</vt:lpstr>
      <vt:lpstr>II. ESTRUCTURA PARA LA EJECUCIÓN DE LA NUEVA MODALIDAD DE ENTREGA DE ALIMENTOS A</vt:lpstr>
      <vt:lpstr>    1.1 Fases de ejecución </vt:lpstr>
      <vt:lpstr>    1.2 Descripción de las Fases de ejecución </vt:lpstr>
      <vt:lpstr>    Justificación de la Estructura en Cuatro Fases</vt:lpstr>
      <vt:lpstr>    Garantías que Ofrece la Nueva Estructura</vt:lpstr>
      <vt:lpstr>II. VENTAJAS DE LA CONTRATACIÓN DE UN OPERADOR LOGÍSTICO PARA EL SERVICIO DE ALI</vt:lpstr>
      <vt:lpstr>    1. Mayor Eficiencia Operacional y Logística</vt:lpstr>
      <vt:lpstr>        1.1 Optimización Integral de la Cadena de Suministro y la Calidad del Alimento P</vt:lpstr>
      <vt:lpstr>        1.2. Optimización de la Gestión de Alimentos y Reducción Significativa del Despe</vt:lpstr>
      <vt:lpstr>        1.3 Planificación y Coordinación Centralizada</vt:lpstr>
      <vt:lpstr>    2. Fortalecimiento del Control de Calidad e Inocuidad Alimentaria</vt:lpstr>
      <vt:lpstr>    3. Mayor Cumplimiento Normativo y Mitigación de Riesgos Legales</vt:lpstr>
      <vt:lpstr>    4. Mayor Flexibilidad y Adaptabilidad</vt:lpstr>
      <vt:lpstr>    5. Optimización de la Gestión del Talento Humano</vt:lpstr>
    </vt:vector>
  </TitlesOfParts>
  <Company/>
  <LinksUpToDate>false</LinksUpToDate>
  <CharactersWithSpaces>46349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NUEVA MODALIDAD DE ENTREGA DE ALIMENTOS A LA POBLACIÓN NNAJ ATENDIDA EN IDIPRON. justificación ESTRUCTURA Y VENTAJAS</dc:title>
  <dc:subject>Abril 2025</dc:subject>
  <dc:creator>Jenny Montoya</dc:creator>
  <cp:keywords/>
  <dc:description/>
  <cp:lastModifiedBy>Jenny Montoya</cp:lastModifiedBy>
  <cp:revision>22</cp:revision>
  <dcterms:created xsi:type="dcterms:W3CDTF">2025-04-09T16:51:00Z</dcterms:created>
  <dcterms:modified xsi:type="dcterms:W3CDTF">2025-04-15T23:13:00Z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29abd812-ba4d-477c-bb81-d5f6be64928f</vt:lpwstr>
  </property>
</Properties>
</file>